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11817B">
      <w:pPr>
        <w:keepNext w:val="0"/>
        <w:keepLines w:val="0"/>
        <w:pageBreakBefore w:val="0"/>
        <w:kinsoku/>
        <w:wordWrap/>
        <w:overflowPunct/>
        <w:topLinePunct w:val="0"/>
        <w:bidi w:val="0"/>
        <w:spacing w:line="360" w:lineRule="auto"/>
        <w:jc w:val="center"/>
        <w:outlineLvl w:val="9"/>
        <w:rPr>
          <w:rFonts w:hint="default" w:ascii="宋体" w:hAnsi="宋体" w:cs="宋体"/>
          <w:b/>
          <w:i w:val="0"/>
          <w:iCs/>
          <w:color w:val="auto"/>
          <w:kern w:val="0"/>
          <w:sz w:val="32"/>
          <w:szCs w:val="32"/>
          <w:highlight w:val="none"/>
          <w:shd w:val="clear" w:color="auto" w:fill="auto"/>
          <w:lang w:val="en-US" w:eastAsia="zh-CN"/>
        </w:rPr>
      </w:pPr>
      <w:r>
        <w:rPr>
          <w:rFonts w:hint="eastAsia" w:ascii="宋体" w:hAnsi="宋体" w:cs="宋体"/>
          <w:b/>
          <w:i w:val="0"/>
          <w:iCs/>
          <w:color w:val="auto"/>
          <w:kern w:val="0"/>
          <w:sz w:val="32"/>
          <w:szCs w:val="32"/>
          <w:highlight w:val="none"/>
          <w:shd w:val="clear" w:color="auto" w:fill="auto"/>
          <w:lang w:val="en-US" w:eastAsia="zh-CN"/>
        </w:rPr>
        <w:t>附件B-招标文件3.2条款及合同文本条款差异说明</w:t>
      </w:r>
    </w:p>
    <w:p w14:paraId="065F4BD6">
      <w:pPr>
        <w:keepNext w:val="0"/>
        <w:keepLines w:val="0"/>
        <w:pageBreakBefore w:val="0"/>
        <w:kinsoku/>
        <w:wordWrap/>
        <w:overflowPunct/>
        <w:topLinePunct w:val="0"/>
        <w:bidi w:val="0"/>
        <w:spacing w:line="360" w:lineRule="auto"/>
        <w:jc w:val="center"/>
        <w:outlineLvl w:val="9"/>
        <w:rPr>
          <w:rFonts w:hint="eastAsia" w:ascii="宋体" w:hAnsi="宋体" w:eastAsia="宋体" w:cs="宋体"/>
          <w:b/>
          <w:i w:val="0"/>
          <w:iCs/>
          <w:color w:val="auto"/>
          <w:kern w:val="0"/>
          <w:sz w:val="28"/>
          <w:szCs w:val="28"/>
          <w:highlight w:val="none"/>
          <w:shd w:val="clear" w:color="auto" w:fill="auto"/>
          <w:lang w:val="en-US" w:eastAsia="zh-CN" w:bidi="ar-SA"/>
        </w:rPr>
      </w:pPr>
    </w:p>
    <w:p w14:paraId="787B63D0">
      <w:pPr>
        <w:keepNext w:val="0"/>
        <w:keepLines w:val="0"/>
        <w:pageBreakBefore w:val="0"/>
        <w:numPr>
          <w:ilvl w:val="0"/>
          <w:numId w:val="0"/>
        </w:numPr>
        <w:kinsoku/>
        <w:wordWrap/>
        <w:overflowPunct/>
        <w:topLinePunct w:val="0"/>
        <w:bidi w:val="0"/>
        <w:spacing w:line="360" w:lineRule="auto"/>
        <w:jc w:val="left"/>
        <w:outlineLvl w:val="0"/>
        <w:rPr>
          <w:rFonts w:hint="eastAsia" w:ascii="宋体" w:hAnsi="宋体" w:cs="宋体"/>
          <w:b/>
          <w:i w:val="0"/>
          <w:iCs/>
          <w:color w:val="auto"/>
          <w:kern w:val="0"/>
          <w:sz w:val="28"/>
          <w:szCs w:val="28"/>
          <w:highlight w:val="none"/>
          <w:u w:val="single"/>
          <w:shd w:val="clear" w:color="auto" w:fill="auto"/>
          <w:lang w:val="en-US" w:eastAsia="zh-CN" w:bidi="ar-SA"/>
        </w:rPr>
      </w:pPr>
      <w:r>
        <w:rPr>
          <w:rFonts w:hint="eastAsia" w:ascii="宋体" w:hAnsi="宋体" w:eastAsia="宋体" w:cs="宋体"/>
          <w:b/>
          <w:i w:val="0"/>
          <w:iCs/>
          <w:color w:val="auto"/>
          <w:kern w:val="0"/>
          <w:sz w:val="28"/>
          <w:szCs w:val="28"/>
          <w:highlight w:val="none"/>
          <w:shd w:val="clear" w:color="auto" w:fill="auto"/>
          <w:lang w:val="en-US" w:eastAsia="zh-CN" w:bidi="ar-SA"/>
        </w:rPr>
        <w:t>标的</w:t>
      </w:r>
      <w:r>
        <w:rPr>
          <w:rFonts w:hint="eastAsia" w:ascii="宋体" w:hAnsi="宋体" w:cs="宋体"/>
          <w:b/>
          <w:i w:val="0"/>
          <w:iCs/>
          <w:color w:val="auto"/>
          <w:kern w:val="0"/>
          <w:sz w:val="28"/>
          <w:szCs w:val="28"/>
          <w:highlight w:val="none"/>
          <w:shd w:val="clear" w:color="auto" w:fill="auto"/>
          <w:lang w:val="en-US" w:eastAsia="zh-CN" w:bidi="ar-SA"/>
        </w:rPr>
        <w:t>/</w:t>
      </w:r>
      <w:r>
        <w:rPr>
          <w:rFonts w:hint="eastAsia" w:ascii="宋体" w:hAnsi="宋体" w:eastAsia="宋体" w:cs="宋体"/>
          <w:b/>
          <w:i w:val="0"/>
          <w:iCs/>
          <w:color w:val="auto"/>
          <w:kern w:val="0"/>
          <w:sz w:val="28"/>
          <w:szCs w:val="28"/>
          <w:highlight w:val="none"/>
          <w:shd w:val="clear" w:color="auto" w:fill="auto"/>
          <w:lang w:val="en-US" w:eastAsia="zh-CN" w:bidi="ar-SA"/>
        </w:rPr>
        <w:t>标段名称</w:t>
      </w:r>
      <w:r>
        <w:rPr>
          <w:rFonts w:hint="eastAsia" w:ascii="宋体" w:hAnsi="宋体" w:cs="宋体"/>
          <w:b/>
          <w:i w:val="0"/>
          <w:iCs/>
          <w:color w:val="auto"/>
          <w:kern w:val="0"/>
          <w:sz w:val="28"/>
          <w:szCs w:val="28"/>
          <w:highlight w:val="none"/>
          <w:shd w:val="clear" w:color="auto" w:fill="auto"/>
          <w:lang w:val="en-US" w:eastAsia="zh-CN" w:bidi="ar-SA"/>
        </w:rPr>
        <w:t>：</w:t>
      </w:r>
      <w:r>
        <w:rPr>
          <w:rFonts w:hint="eastAsia" w:ascii="宋体" w:hAnsi="宋体" w:cs="宋体"/>
          <w:b/>
          <w:i w:val="0"/>
          <w:iCs/>
          <w:color w:val="auto"/>
          <w:kern w:val="0"/>
          <w:sz w:val="28"/>
          <w:szCs w:val="28"/>
          <w:highlight w:val="none"/>
          <w:u w:val="single"/>
          <w:shd w:val="clear" w:color="auto" w:fill="auto"/>
          <w:lang w:val="en-US" w:eastAsia="zh-CN" w:bidi="ar-SA"/>
        </w:rPr>
        <w:t xml:space="preserve"> 110千伏湖石输变电工程（电气分册）（不含通信部分）施工</w:t>
      </w:r>
      <w:bookmarkStart w:id="0" w:name="_GoBack"/>
      <w:bookmarkEnd w:id="0"/>
      <w:r>
        <w:rPr>
          <w:rFonts w:hint="eastAsia" w:ascii="宋体" w:hAnsi="宋体" w:cs="宋体"/>
          <w:b/>
          <w:i w:val="0"/>
          <w:iCs/>
          <w:color w:val="auto"/>
          <w:kern w:val="0"/>
          <w:sz w:val="28"/>
          <w:szCs w:val="28"/>
          <w:highlight w:val="none"/>
          <w:u w:val="single"/>
          <w:shd w:val="clear" w:color="auto" w:fill="auto"/>
          <w:lang w:val="en-US" w:eastAsia="zh-CN" w:bidi="ar-SA"/>
        </w:rPr>
        <w:t xml:space="preserve"> </w:t>
      </w:r>
    </w:p>
    <w:p w14:paraId="6EC5F14A">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after="157" w:afterLines="50" w:line="360" w:lineRule="auto"/>
        <w:textAlignment w:val="auto"/>
        <w:rPr>
          <w:rFonts w:hint="default" w:ascii="宋体" w:hAnsi="宋体" w:eastAsia="宋体" w:cs="Times New Roman"/>
          <w:b w:val="0"/>
          <w:bCs/>
          <w:i w:val="0"/>
          <w:iCs/>
          <w:color w:val="auto"/>
          <w:kern w:val="0"/>
          <w:sz w:val="24"/>
          <w:szCs w:val="24"/>
          <w:highlight w:val="none"/>
          <w:u w:val="single"/>
          <w:shd w:val="clear" w:color="auto" w:fill="auto"/>
          <w:lang w:val="en-US" w:eastAsia="zh-CN" w:bidi="ar-SA"/>
        </w:rPr>
      </w:pPr>
      <w:r>
        <w:rPr>
          <w:rFonts w:hint="eastAsia" w:ascii="宋体" w:hAnsi="宋体" w:eastAsia="宋体" w:cs="Times New Roman"/>
          <w:b/>
          <w:bCs w:val="0"/>
          <w:i w:val="0"/>
          <w:iCs/>
          <w:color w:val="auto"/>
          <w:kern w:val="0"/>
          <w:sz w:val="24"/>
          <w:szCs w:val="24"/>
          <w:highlight w:val="none"/>
          <w:shd w:val="clear" w:color="auto" w:fill="auto"/>
          <w:lang w:val="en-US" w:eastAsia="zh-CN" w:bidi="ar-SA"/>
        </w:rPr>
        <w:t xml:space="preserve">本标的/标段使用标准合同文本名称： </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 xml:space="preserve"> 中国南方电网有限责任公司基建输变电工程施工合同 </w:t>
      </w:r>
    </w:p>
    <w:p w14:paraId="5CBE3754">
      <w:pPr>
        <w:spacing w:line="360" w:lineRule="auto"/>
        <w:outlineLvl w:val="1"/>
        <w:rPr>
          <w:rFonts w:hint="eastAsia" w:ascii="宋体" w:hAnsi="宋体" w:eastAsia="宋体"/>
          <w:b/>
          <w:iCs/>
          <w:color w:val="auto"/>
          <w:kern w:val="0"/>
          <w:sz w:val="28"/>
          <w:szCs w:val="28"/>
          <w:highlight w:val="none"/>
          <w:shd w:val="clear" w:color="auto" w:fill="auto"/>
          <w:lang w:eastAsia="zh-CN"/>
        </w:rPr>
      </w:pPr>
      <w:r>
        <w:rPr>
          <w:rFonts w:hint="eastAsia" w:ascii="宋体" w:hAnsi="宋体"/>
          <w:b/>
          <w:iCs/>
          <w:color w:val="auto"/>
          <w:kern w:val="0"/>
          <w:sz w:val="28"/>
          <w:szCs w:val="28"/>
          <w:highlight w:val="none"/>
          <w:shd w:val="clear" w:color="auto" w:fill="auto"/>
        </w:rPr>
        <w:t>一、招标文件3.2条款差异说明</w:t>
      </w:r>
      <w:r>
        <w:rPr>
          <w:rFonts w:hint="eastAsia" w:ascii="宋体" w:hAnsi="宋体"/>
          <w:b/>
          <w:iCs/>
          <w:color w:val="auto"/>
          <w:kern w:val="0"/>
          <w:sz w:val="28"/>
          <w:szCs w:val="28"/>
          <w:highlight w:val="none"/>
          <w:shd w:val="clear" w:color="auto" w:fill="auto"/>
          <w:lang w:eastAsia="zh-CN"/>
        </w:rPr>
        <w:t>（广州局初设招标）</w:t>
      </w:r>
    </w:p>
    <w:p w14:paraId="24834326">
      <w:pPr>
        <w:spacing w:line="360" w:lineRule="auto"/>
        <w:rPr>
          <w:rFonts w:ascii="宋体" w:hAnsi="宋体" w:eastAsia="宋体"/>
          <w:color w:val="auto"/>
          <w:highlight w:val="none"/>
          <w:shd w:val="clear" w:color="auto" w:fill="auto"/>
        </w:rPr>
      </w:pPr>
      <w:r>
        <w:rPr>
          <w:rFonts w:hint="eastAsia" w:ascii="宋体" w:hAnsi="宋体" w:eastAsia="宋体"/>
          <w:b/>
          <w:bCs/>
          <w:color w:val="auto"/>
          <w:highlight w:val="none"/>
          <w:shd w:val="clear" w:color="auto" w:fill="auto"/>
        </w:rPr>
        <w:t>1、报价编制原则：</w:t>
      </w:r>
    </w:p>
    <w:p w14:paraId="3EF251CB">
      <w:pPr>
        <w:pStyle w:val="6"/>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color w:val="auto"/>
          <w:sz w:val="21"/>
          <w:szCs w:val="21"/>
          <w:highlight w:val="none"/>
          <w:shd w:val="clear" w:color="auto" w:fill="auto"/>
        </w:rPr>
      </w:pPr>
      <w:r>
        <w:rPr>
          <w:rFonts w:hint="eastAsia" w:hAnsi="宋体" w:eastAsia="宋体"/>
          <w:b/>
          <w:color w:val="auto"/>
          <w:highlight w:val="none"/>
          <w:shd w:val="clear" w:color="auto" w:fill="auto"/>
        </w:rPr>
        <w:t>3.2 投标报价</w:t>
      </w:r>
      <w:r>
        <w:rPr>
          <w:rFonts w:hint="eastAsia" w:ascii="宋体" w:hAnsi="宋体" w:eastAsia="宋体" w:cs="宋体"/>
          <w:b/>
          <w:color w:val="auto"/>
          <w:sz w:val="21"/>
          <w:szCs w:val="21"/>
          <w:highlight w:val="none"/>
          <w:shd w:val="clear" w:color="auto" w:fill="auto"/>
        </w:rPr>
        <w:t>（采用暂定价、投标</w:t>
      </w:r>
      <w:r>
        <w:rPr>
          <w:rFonts w:hint="eastAsia" w:hAnsi="宋体" w:cs="宋体"/>
          <w:b/>
          <w:color w:val="auto"/>
          <w:sz w:val="21"/>
          <w:szCs w:val="21"/>
          <w:highlight w:val="none"/>
          <w:shd w:val="clear" w:color="auto" w:fill="auto"/>
          <w:lang w:val="en-US" w:eastAsia="zh-CN"/>
        </w:rPr>
        <w:t>下浮</w:t>
      </w:r>
      <w:r>
        <w:rPr>
          <w:rFonts w:hint="eastAsia" w:ascii="宋体" w:hAnsi="宋体" w:eastAsia="宋体" w:cs="宋体"/>
          <w:b/>
          <w:color w:val="auto"/>
          <w:sz w:val="21"/>
          <w:szCs w:val="21"/>
          <w:highlight w:val="none"/>
          <w:shd w:val="clear" w:color="auto" w:fill="auto"/>
        </w:rPr>
        <w:t>率的报价形式）</w:t>
      </w:r>
    </w:p>
    <w:p w14:paraId="3FB2E0A0">
      <w:pPr>
        <w:pStyle w:val="6"/>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olor w:val="auto"/>
          <w:highlight w:val="none"/>
        </w:rPr>
      </w:pPr>
      <w:r>
        <w:rPr>
          <w:rFonts w:hint="eastAsia" w:hAnsi="宋体"/>
          <w:color w:val="auto"/>
          <w:highlight w:val="none"/>
        </w:rPr>
        <w:t>3.2.1最高投标限价：见投标人须知前附表。</w:t>
      </w:r>
    </w:p>
    <w:p w14:paraId="2B1BE35D">
      <w:pPr>
        <w:pStyle w:val="6"/>
        <w:spacing w:line="360" w:lineRule="auto"/>
        <w:ind w:firstLine="420" w:firstLineChars="200"/>
        <w:rPr>
          <w:rFonts w:hint="eastAsia" w:hAnsi="宋体"/>
          <w:color w:val="auto"/>
          <w:highlight w:val="none"/>
        </w:rPr>
      </w:pPr>
      <w:r>
        <w:rPr>
          <w:rFonts w:hint="eastAsia" w:ascii="宋体" w:hAnsi="宋体"/>
          <w:color w:val="auto"/>
          <w:sz w:val="21"/>
          <w:szCs w:val="21"/>
          <w:highlight w:val="none"/>
          <w:shd w:val="clear" w:color="auto" w:fill="auto"/>
        </w:rPr>
        <w:t>3.2.2最高投标限价组成</w:t>
      </w:r>
    </w:p>
    <w:p w14:paraId="2B4EFF4C">
      <w:pPr>
        <w:keepNext w:val="0"/>
        <w:keepLines w:val="0"/>
        <w:pageBreakBefore w:val="0"/>
        <w:widowControl w:val="0"/>
        <w:kinsoku/>
        <w:wordWrap/>
        <w:overflowPunct/>
        <w:topLinePunct w:val="0"/>
        <w:autoSpaceDE/>
        <w:autoSpaceDN/>
        <w:bidi w:val="0"/>
        <w:adjustRightInd/>
        <w:snapToGrid/>
        <w:spacing w:line="360" w:lineRule="auto"/>
        <w:ind w:firstLine="315" w:firstLineChars="150"/>
        <w:textAlignment w:val="auto"/>
        <w:rPr>
          <w:rFonts w:hint="eastAsia" w:ascii="宋体" w:hAnsi="宋体"/>
          <w:color w:val="auto"/>
          <w:sz w:val="21"/>
          <w:szCs w:val="21"/>
          <w:highlight w:val="none"/>
        </w:rPr>
      </w:pPr>
      <w:r>
        <w:rPr>
          <w:rFonts w:hint="eastAsia" w:ascii="宋体" w:hAnsi="宋体"/>
          <w:color w:val="auto"/>
          <w:sz w:val="21"/>
          <w:szCs w:val="21"/>
          <w:highlight w:val="none"/>
        </w:rPr>
        <w:t>（1</w:t>
      </w:r>
      <w:r>
        <w:rPr>
          <w:rFonts w:ascii="宋体" w:hAnsi="宋体"/>
          <w:color w:val="auto"/>
          <w:sz w:val="21"/>
          <w:szCs w:val="21"/>
          <w:highlight w:val="none"/>
        </w:rPr>
        <w:t>）</w:t>
      </w:r>
      <w:r>
        <w:rPr>
          <w:rFonts w:hint="eastAsia" w:ascii="宋体" w:hAnsi="宋体"/>
          <w:color w:val="auto"/>
          <w:sz w:val="21"/>
          <w:szCs w:val="21"/>
          <w:highlight w:val="none"/>
        </w:rPr>
        <w:t>本工程的初步设计审定概算中招标范围内的费用。</w:t>
      </w:r>
    </w:p>
    <w:p w14:paraId="0523C09A">
      <w:pPr>
        <w:keepNext w:val="0"/>
        <w:keepLines w:val="0"/>
        <w:pageBreakBefore w:val="0"/>
        <w:widowControl w:val="0"/>
        <w:kinsoku/>
        <w:wordWrap/>
        <w:overflowPunct/>
        <w:topLinePunct w:val="0"/>
        <w:autoSpaceDE/>
        <w:autoSpaceDN/>
        <w:bidi w:val="0"/>
        <w:adjustRightInd/>
        <w:snapToGrid/>
        <w:spacing w:line="360" w:lineRule="auto"/>
        <w:ind w:firstLine="315" w:firstLineChars="150"/>
        <w:textAlignment w:val="auto"/>
        <w:rPr>
          <w:rFonts w:hint="eastAsia" w:ascii="宋体" w:hAnsi="宋体"/>
          <w:color w:val="auto"/>
          <w:sz w:val="21"/>
          <w:szCs w:val="21"/>
          <w:highlight w:val="none"/>
        </w:rPr>
      </w:pPr>
      <w:r>
        <w:rPr>
          <w:rFonts w:hint="eastAsia" w:ascii="宋体" w:hAnsi="宋体"/>
          <w:color w:val="auto"/>
          <w:sz w:val="21"/>
          <w:szCs w:val="21"/>
          <w:highlight w:val="none"/>
        </w:rPr>
        <w:t>（2</w:t>
      </w:r>
      <w:r>
        <w:rPr>
          <w:rFonts w:ascii="宋体" w:hAnsi="宋体"/>
          <w:color w:val="auto"/>
          <w:sz w:val="21"/>
          <w:szCs w:val="21"/>
          <w:highlight w:val="none"/>
        </w:rPr>
        <w:t>）</w:t>
      </w:r>
      <w:r>
        <w:rPr>
          <w:rFonts w:hint="eastAsia" w:ascii="宋体" w:hAnsi="宋体"/>
          <w:color w:val="auto"/>
          <w:sz w:val="21"/>
          <w:szCs w:val="21"/>
          <w:highlight w:val="none"/>
        </w:rPr>
        <w:t>甲供设备材料卸车保管费用的计算标准：</w:t>
      </w:r>
    </w:p>
    <w:p w14:paraId="350403B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变电工程：建设单位供应的实物供应到投标人设置的材料站，对项目建设单位提供的设备、材料，中标方负责进行卸车、清点、质量验收和保管，所发生的卸车保管费限价按不超过：</w:t>
      </w:r>
      <w:r>
        <w:rPr>
          <w:rFonts w:hint="eastAsia" w:ascii="宋体" w:hAnsi="宋体"/>
          <w:b/>
          <w:color w:val="auto"/>
          <w:sz w:val="21"/>
          <w:szCs w:val="21"/>
          <w:highlight w:val="none"/>
        </w:rPr>
        <w:t>甲供材料费×1%、甲供设备费（不含主变压器、高抗）×0.5%</w:t>
      </w:r>
      <w:r>
        <w:rPr>
          <w:rFonts w:hint="eastAsia" w:ascii="宋体" w:hAnsi="宋体"/>
          <w:color w:val="auto"/>
          <w:sz w:val="21"/>
          <w:szCs w:val="21"/>
          <w:highlight w:val="none"/>
        </w:rPr>
        <w:t>计列。</w:t>
      </w:r>
    </w:p>
    <w:p w14:paraId="340BC336">
      <w:pPr>
        <w:pStyle w:val="6"/>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线路（电缆）工程：建设单位向中标单位供应实物量供应到投标人设置的中心材料站；中标单位每标段设置一个中心材料站，所设的中心材料站应具备汽车送达、吊车作业的条件；对建设单位送达的材料，中标单位负责进行卸车、清点、质量验收和保管，所发生的卸车保管费限价按不超过：</w:t>
      </w:r>
      <w:r>
        <w:rPr>
          <w:rFonts w:hint="eastAsia" w:ascii="宋体" w:hAnsi="宋体"/>
          <w:b/>
          <w:color w:val="auto"/>
          <w:sz w:val="21"/>
          <w:szCs w:val="21"/>
          <w:highlight w:val="none"/>
        </w:rPr>
        <w:t>甲供材料费×1%、甲供设备费×0.5%</w:t>
      </w:r>
      <w:r>
        <w:rPr>
          <w:rFonts w:hint="eastAsia" w:ascii="宋体" w:hAnsi="宋体"/>
          <w:color w:val="auto"/>
          <w:sz w:val="21"/>
          <w:szCs w:val="21"/>
          <w:highlight w:val="none"/>
        </w:rPr>
        <w:t>计算。</w:t>
      </w:r>
    </w:p>
    <w:p w14:paraId="01CCB02A">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b/>
          <w:color w:val="auto"/>
          <w:sz w:val="21"/>
          <w:szCs w:val="21"/>
          <w:highlight w:val="none"/>
        </w:rPr>
      </w:pPr>
      <w:r>
        <w:rPr>
          <w:rFonts w:hint="eastAsia" w:ascii="宋体" w:hAnsi="宋体"/>
          <w:b/>
          <w:color w:val="auto"/>
          <w:sz w:val="21"/>
          <w:szCs w:val="21"/>
          <w:highlight w:val="none"/>
        </w:rPr>
        <w:t>（3）不单独计算风险包干费用。</w:t>
      </w:r>
    </w:p>
    <w:p w14:paraId="2D98F276">
      <w:pPr>
        <w:pStyle w:val="6"/>
        <w:shd w:val="clear"/>
        <w:spacing w:line="360" w:lineRule="auto"/>
        <w:ind w:firstLine="420" w:firstLineChars="200"/>
        <w:rPr>
          <w:rFonts w:hint="eastAsia" w:hAnsi="宋体"/>
          <w:bCs/>
          <w:color w:val="auto"/>
          <w:sz w:val="21"/>
          <w:szCs w:val="21"/>
          <w:highlight w:val="none"/>
          <w:u w:val="single"/>
        </w:rPr>
      </w:pPr>
      <w:r>
        <w:rPr>
          <w:rFonts w:hint="eastAsia" w:ascii="宋体" w:hAnsi="宋体"/>
          <w:color w:val="auto"/>
          <w:sz w:val="21"/>
          <w:szCs w:val="21"/>
          <w:highlight w:val="none"/>
        </w:rPr>
        <w:t>（4）</w:t>
      </w:r>
      <w:r>
        <w:rPr>
          <w:rFonts w:hint="eastAsia" w:ascii="宋体" w:hAnsi="宋体" w:eastAsia="宋体" w:cs="Times New Roman"/>
          <w:color w:val="auto"/>
          <w:szCs w:val="21"/>
          <w:highlight w:val="none"/>
          <w:u w:val="single"/>
          <w:shd w:val="clear" w:color="auto" w:fill="auto"/>
          <w:lang w:val="en-US" w:eastAsia="zh-CN"/>
        </w:rPr>
        <w:t>税金费用执行《转发电力定额总站关于调整电力工程计价依据增值税税率的通知》（粤电定</w:t>
      </w:r>
      <w:r>
        <w:rPr>
          <w:rFonts w:hint="eastAsia" w:ascii="宋体" w:hAnsi="宋体"/>
          <w:color w:val="auto"/>
          <w:highlight w:val="none"/>
          <w:u w:val="single"/>
          <w:shd w:val="clear" w:color="auto" w:fill="auto"/>
          <w:lang w:val="en-US" w:eastAsia="zh-CN"/>
        </w:rPr>
        <w:t>〔2019〕</w:t>
      </w:r>
      <w:r>
        <w:rPr>
          <w:rFonts w:hint="eastAsia" w:ascii="宋体" w:hAnsi="宋体" w:eastAsia="宋体" w:cs="Times New Roman"/>
          <w:color w:val="auto"/>
          <w:szCs w:val="21"/>
          <w:highlight w:val="none"/>
          <w:u w:val="single"/>
          <w:shd w:val="clear" w:color="auto" w:fill="auto"/>
          <w:lang w:val="en-US" w:eastAsia="zh-CN"/>
        </w:rPr>
        <w:t>2号）及工程所在地政府的相关规定，建筑业增值税税率为9%。</w:t>
      </w:r>
      <w:r>
        <w:rPr>
          <w:rFonts w:hint="eastAsia" w:hAnsi="宋体"/>
          <w:strike/>
          <w:color w:val="auto"/>
          <w:szCs w:val="21"/>
          <w:highlight w:val="none"/>
          <w:u w:val="single"/>
          <w:shd w:val="clear" w:color="auto" w:fill="auto"/>
        </w:rPr>
        <w:t>若中标单位采用简易计税方法计税，则在结算过程中调整相应结算金额</w:t>
      </w:r>
      <w:r>
        <w:rPr>
          <w:rFonts w:hint="eastAsia" w:hAnsi="宋体"/>
          <w:bCs/>
          <w:strike/>
          <w:color w:val="auto"/>
          <w:sz w:val="21"/>
          <w:szCs w:val="21"/>
          <w:highlight w:val="none"/>
          <w:u w:val="single"/>
        </w:rPr>
        <w:t>。</w:t>
      </w:r>
    </w:p>
    <w:p w14:paraId="59778F69">
      <w:pPr>
        <w:pStyle w:val="6"/>
        <w:shd w:val="clear"/>
        <w:spacing w:line="360" w:lineRule="auto"/>
        <w:ind w:firstLine="420" w:firstLineChars="200"/>
        <w:rPr>
          <w:rFonts w:hint="eastAsia" w:hAnsi="宋体"/>
          <w:color w:val="auto"/>
          <w:highlight w:val="none"/>
          <w:shd w:val="clear" w:color="auto" w:fill="auto"/>
          <w:lang w:eastAsia="zh-CN"/>
        </w:rPr>
      </w:pPr>
      <w:r>
        <w:rPr>
          <w:rFonts w:hint="eastAsia" w:ascii="宋体" w:hAnsi="宋体" w:eastAsia="宋体" w:cs="Times New Roman"/>
          <w:color w:val="auto"/>
          <w:kern w:val="2"/>
          <w:sz w:val="21"/>
          <w:szCs w:val="21"/>
          <w:highlight w:val="none"/>
          <w:lang w:val="en-US" w:eastAsia="zh-CN" w:bidi="ar-SA"/>
        </w:rPr>
        <w:t>（5）</w:t>
      </w:r>
      <w:r>
        <w:rPr>
          <w:rFonts w:hint="eastAsia" w:hAnsi="宋体" w:eastAsia="宋体"/>
          <w:color w:val="auto"/>
          <w:highlight w:val="none"/>
          <w:shd w:val="clear" w:color="auto" w:fill="auto"/>
          <w:lang w:eastAsia="zh-CN"/>
        </w:rPr>
        <w:t>变电</w:t>
      </w:r>
      <w:r>
        <w:rPr>
          <w:rFonts w:hint="eastAsia" w:hAnsi="宋体"/>
          <w:color w:val="auto"/>
          <w:highlight w:val="none"/>
          <w:shd w:val="clear" w:color="auto" w:fill="auto"/>
        </w:rPr>
        <w:t>工程</w:t>
      </w:r>
      <w:r>
        <w:rPr>
          <w:rFonts w:hint="eastAsia" w:hAnsi="宋体"/>
          <w:color w:val="auto"/>
          <w:highlight w:val="none"/>
          <w:shd w:val="clear" w:color="auto" w:fill="auto"/>
          <w:lang w:eastAsia="zh-CN"/>
        </w:rPr>
        <w:t>（有□的项目，</w:t>
      </w:r>
      <w:r>
        <w:rPr>
          <w:rFonts w:hint="eastAsia" w:hAnsi="宋体"/>
          <w:color w:val="auto"/>
          <w:highlight w:val="none"/>
          <w:shd w:val="clear" w:color="auto" w:fill="auto"/>
          <w:lang w:val="en-US" w:eastAsia="zh-CN"/>
        </w:rPr>
        <w:t>按照</w:t>
      </w:r>
      <w:r>
        <w:rPr>
          <w:rFonts w:hint="eastAsia" w:hAnsi="宋体" w:eastAsia="宋体" w:cs="宋体"/>
          <w:color w:val="auto"/>
          <w:highlight w:val="none"/>
          <w:shd w:val="clear" w:color="auto" w:fill="auto"/>
          <w:lang w:val="en-US" w:eastAsia="zh-CN"/>
        </w:rPr>
        <w:t>□</w:t>
      </w:r>
      <w:r>
        <w:rPr>
          <w:rFonts w:hint="eastAsia" w:hAnsi="宋体"/>
          <w:color w:val="auto"/>
          <w:highlight w:val="none"/>
          <w:shd w:val="clear" w:color="auto" w:fill="auto"/>
          <w:lang w:val="en-US" w:eastAsia="zh-CN"/>
        </w:rPr>
        <w:t>内</w:t>
      </w:r>
      <w:r>
        <w:rPr>
          <w:rFonts w:hint="eastAsia" w:hAnsi="宋体"/>
          <w:color w:val="auto"/>
          <w:highlight w:val="none"/>
          <w:shd w:val="clear" w:color="auto" w:fill="auto"/>
          <w:lang w:eastAsia="zh-CN"/>
        </w:rPr>
        <w:t>打√的</w:t>
      </w:r>
      <w:r>
        <w:rPr>
          <w:rFonts w:hint="eastAsia" w:hAnsi="宋体"/>
          <w:color w:val="auto"/>
          <w:highlight w:val="none"/>
          <w:shd w:val="clear" w:color="auto" w:fill="auto"/>
          <w:lang w:val="en-US" w:eastAsia="zh-CN"/>
        </w:rPr>
        <w:t>执行</w:t>
      </w:r>
      <w:r>
        <w:rPr>
          <w:rFonts w:hint="eastAsia" w:hAnsi="宋体"/>
          <w:color w:val="auto"/>
          <w:highlight w:val="none"/>
          <w:shd w:val="clear" w:color="auto" w:fill="auto"/>
          <w:lang w:eastAsia="zh-CN"/>
        </w:rPr>
        <w:t>）：</w:t>
      </w:r>
    </w:p>
    <w:p w14:paraId="29807BAB">
      <w:pPr>
        <w:pStyle w:val="6"/>
        <w:shd w:val="clear"/>
        <w:spacing w:line="360" w:lineRule="auto"/>
        <w:ind w:firstLine="420" w:firstLineChars="200"/>
        <w:rPr>
          <w:rFonts w:hint="eastAsia" w:hAnsi="宋体"/>
          <w:color w:val="auto"/>
          <w:highlight w:val="none"/>
          <w:u w:val="single"/>
          <w:shd w:val="clear" w:color="auto" w:fill="auto"/>
          <w:lang w:val="en-US" w:eastAsia="zh-CN"/>
        </w:rPr>
      </w:pPr>
      <w:r>
        <w:rPr>
          <w:rFonts w:hint="eastAsia" w:hAnsi="宋体" w:cs="宋体"/>
          <w:color w:val="auto"/>
          <w:highlight w:val="none"/>
          <w:shd w:val="clear" w:color="auto" w:fill="auto"/>
          <w:lang w:val="en-US" w:eastAsia="zh-CN"/>
        </w:rPr>
        <w:t>☑</w:t>
      </w:r>
      <w:r>
        <w:rPr>
          <w:rFonts w:hint="eastAsia" w:hAnsi="宋体"/>
          <w:color w:val="auto"/>
          <w:highlight w:val="none"/>
          <w:shd w:val="clear" w:color="auto" w:fill="auto"/>
          <w:lang w:val="en-US" w:eastAsia="zh-CN"/>
        </w:rPr>
        <w:t>其他：</w:t>
      </w:r>
      <w:r>
        <w:rPr>
          <w:rFonts w:hint="eastAsia" w:hAnsi="宋体"/>
          <w:color w:val="auto"/>
          <w:highlight w:val="none"/>
          <w:u w:val="single"/>
          <w:shd w:val="clear" w:color="auto" w:fill="auto"/>
          <w:lang w:val="en-US" w:eastAsia="zh-CN"/>
        </w:rPr>
        <w:t>临时施工电源不计入正式合同价，按实际工程量并计取中标下浮率进行结算。</w:t>
      </w:r>
    </w:p>
    <w:p w14:paraId="63D67054">
      <w:pPr>
        <w:pStyle w:val="6"/>
        <w:shd w:val="clear"/>
        <w:spacing w:line="360" w:lineRule="auto"/>
        <w:ind w:firstLine="420" w:firstLineChars="200"/>
        <w:rPr>
          <w:rFonts w:hint="default" w:hAnsi="宋体"/>
          <w:color w:val="auto"/>
          <w:highlight w:val="none"/>
          <w:u w:val="single"/>
          <w:shd w:val="clear" w:color="auto" w:fill="auto"/>
          <w:lang w:val="en-US" w:eastAsia="zh-CN"/>
        </w:rPr>
      </w:pPr>
      <w:r>
        <w:rPr>
          <w:rFonts w:hint="eastAsia" w:hAnsi="宋体" w:cs="宋体"/>
          <w:color w:val="auto"/>
          <w:highlight w:val="none"/>
          <w:shd w:val="clear" w:color="auto" w:fill="auto"/>
          <w:lang w:val="en-US" w:eastAsia="zh-CN"/>
        </w:rPr>
        <w:t>☑</w:t>
      </w:r>
      <w:r>
        <w:rPr>
          <w:rFonts w:hint="eastAsia" w:hAnsi="宋体"/>
          <w:color w:val="auto"/>
          <w:highlight w:val="none"/>
          <w:shd w:val="clear" w:color="auto" w:fill="auto"/>
          <w:lang w:val="en-US" w:eastAsia="zh-CN"/>
        </w:rPr>
        <w:t>其他：</w:t>
      </w:r>
      <w:r>
        <w:rPr>
          <w:rFonts w:hint="eastAsia" w:hAnsi="宋体"/>
          <w:color w:val="auto"/>
          <w:highlight w:val="none"/>
          <w:u w:val="single"/>
          <w:shd w:val="clear" w:color="auto" w:fill="auto"/>
          <w:lang w:val="en-US" w:eastAsia="zh-CN"/>
        </w:rPr>
        <w:t>光伏工程。</w:t>
      </w:r>
    </w:p>
    <w:p w14:paraId="79D2B54F">
      <w:pPr>
        <w:pStyle w:val="6"/>
        <w:shd w:val="clear"/>
        <w:spacing w:line="360" w:lineRule="auto"/>
        <w:ind w:firstLine="420" w:firstLineChars="200"/>
        <w:rPr>
          <w:rFonts w:hint="eastAsia" w:hAnsi="宋体"/>
          <w:color w:val="auto"/>
          <w:highlight w:val="none"/>
          <w:shd w:val="clear" w:color="auto" w:fill="auto"/>
          <w:lang w:eastAsia="zh-CN"/>
        </w:rPr>
      </w:pPr>
      <w:r>
        <w:rPr>
          <w:rFonts w:hint="eastAsia" w:ascii="宋体" w:hAnsi="宋体" w:eastAsia="宋体" w:cs="Times New Roman"/>
          <w:color w:val="auto"/>
          <w:kern w:val="2"/>
          <w:sz w:val="21"/>
          <w:szCs w:val="21"/>
          <w:highlight w:val="none"/>
          <w:lang w:val="en-US" w:eastAsia="zh-CN" w:bidi="ar-SA"/>
        </w:rPr>
        <w:t>（</w:t>
      </w:r>
      <w:r>
        <w:rPr>
          <w:rFonts w:hint="eastAsia" w:hAnsi="宋体" w:cs="Times New Roman"/>
          <w:color w:val="auto"/>
          <w:kern w:val="2"/>
          <w:sz w:val="21"/>
          <w:szCs w:val="21"/>
          <w:highlight w:val="none"/>
          <w:lang w:val="en-US" w:eastAsia="zh-CN" w:bidi="ar-SA"/>
        </w:rPr>
        <w:t>6</w:t>
      </w:r>
      <w:r>
        <w:rPr>
          <w:rFonts w:hint="eastAsia" w:ascii="宋体" w:hAnsi="宋体" w:eastAsia="宋体" w:cs="Times New Roman"/>
          <w:color w:val="auto"/>
          <w:kern w:val="2"/>
          <w:sz w:val="21"/>
          <w:szCs w:val="21"/>
          <w:highlight w:val="none"/>
          <w:lang w:val="en-US" w:eastAsia="zh-CN" w:bidi="ar-SA"/>
        </w:rPr>
        <w:t>）</w:t>
      </w:r>
      <w:r>
        <w:rPr>
          <w:rFonts w:hint="eastAsia" w:hAnsi="宋体"/>
          <w:color w:val="auto"/>
          <w:highlight w:val="none"/>
          <w:shd w:val="clear" w:color="auto" w:fill="auto"/>
        </w:rPr>
        <w:t>架空线路工程</w:t>
      </w:r>
      <w:r>
        <w:rPr>
          <w:rFonts w:hint="eastAsia" w:hAnsi="宋体"/>
          <w:color w:val="auto"/>
          <w:highlight w:val="none"/>
          <w:shd w:val="clear" w:color="auto" w:fill="auto"/>
          <w:lang w:eastAsia="zh-CN"/>
        </w:rPr>
        <w:t>（有□的项目，</w:t>
      </w:r>
      <w:r>
        <w:rPr>
          <w:rFonts w:hint="eastAsia" w:hAnsi="宋体"/>
          <w:color w:val="auto"/>
          <w:highlight w:val="none"/>
          <w:shd w:val="clear" w:color="auto" w:fill="auto"/>
          <w:lang w:val="en-US" w:eastAsia="zh-CN"/>
        </w:rPr>
        <w:t>按照</w:t>
      </w:r>
      <w:r>
        <w:rPr>
          <w:rFonts w:hint="eastAsia" w:hAnsi="宋体" w:eastAsia="宋体" w:cs="宋体"/>
          <w:color w:val="auto"/>
          <w:highlight w:val="none"/>
          <w:shd w:val="clear" w:color="auto" w:fill="auto"/>
          <w:lang w:val="en-US" w:eastAsia="zh-CN"/>
        </w:rPr>
        <w:t>□</w:t>
      </w:r>
      <w:r>
        <w:rPr>
          <w:rFonts w:hint="eastAsia" w:hAnsi="宋体"/>
          <w:color w:val="auto"/>
          <w:highlight w:val="none"/>
          <w:shd w:val="clear" w:color="auto" w:fill="auto"/>
          <w:lang w:val="en-US" w:eastAsia="zh-CN"/>
        </w:rPr>
        <w:t>内</w:t>
      </w:r>
      <w:r>
        <w:rPr>
          <w:rFonts w:hint="eastAsia" w:hAnsi="宋体"/>
          <w:color w:val="auto"/>
          <w:highlight w:val="none"/>
          <w:shd w:val="clear" w:color="auto" w:fill="auto"/>
          <w:lang w:eastAsia="zh-CN"/>
        </w:rPr>
        <w:t>打√的</w:t>
      </w:r>
      <w:r>
        <w:rPr>
          <w:rFonts w:hint="eastAsia" w:hAnsi="宋体"/>
          <w:color w:val="auto"/>
          <w:highlight w:val="none"/>
          <w:shd w:val="clear" w:color="auto" w:fill="auto"/>
          <w:lang w:val="en-US" w:eastAsia="zh-CN"/>
        </w:rPr>
        <w:t>执行</w:t>
      </w:r>
      <w:r>
        <w:rPr>
          <w:rFonts w:hint="eastAsia" w:hAnsi="宋体"/>
          <w:color w:val="auto"/>
          <w:highlight w:val="none"/>
          <w:shd w:val="clear" w:color="auto" w:fill="auto"/>
          <w:lang w:eastAsia="zh-CN"/>
        </w:rPr>
        <w:t>）：</w:t>
      </w:r>
    </w:p>
    <w:p w14:paraId="1E65136E">
      <w:pPr>
        <w:pStyle w:val="6"/>
        <w:shd w:val="clear"/>
        <w:spacing w:line="360" w:lineRule="auto"/>
        <w:ind w:firstLine="420" w:firstLineChars="200"/>
        <w:rPr>
          <w:rFonts w:hint="eastAsia" w:hAnsi="宋体"/>
          <w:color w:val="auto"/>
          <w:highlight w:val="none"/>
          <w:shd w:val="clear" w:color="auto" w:fill="auto"/>
          <w:lang w:eastAsia="zh-CN"/>
        </w:rPr>
      </w:pPr>
      <w:r>
        <w:rPr>
          <w:rFonts w:hint="eastAsia" w:ascii="宋体" w:hAnsi="宋体"/>
          <w:color w:val="auto"/>
          <w:szCs w:val="21"/>
          <w:highlight w:val="none"/>
        </w:rPr>
        <w:t>①</w:t>
      </w:r>
      <w:r>
        <w:rPr>
          <w:rFonts w:hint="eastAsia" w:hAnsi="宋体"/>
          <w:color w:val="auto"/>
          <w:highlight w:val="none"/>
          <w:shd w:val="clear" w:color="auto" w:fill="auto"/>
        </w:rPr>
        <w:t>架线</w:t>
      </w:r>
      <w:r>
        <w:rPr>
          <w:rFonts w:hint="eastAsia" w:hAnsi="宋体"/>
          <w:color w:val="auto"/>
          <w:szCs w:val="21"/>
          <w:highlight w:val="none"/>
          <w:shd w:val="clear" w:color="auto" w:fill="auto"/>
        </w:rPr>
        <w:t>（或拆除</w:t>
      </w:r>
      <w:r>
        <w:rPr>
          <w:rFonts w:hint="eastAsia" w:hAnsi="宋体"/>
          <w:color w:val="auto"/>
          <w:szCs w:val="21"/>
          <w:highlight w:val="none"/>
          <w:shd w:val="clear" w:color="auto" w:fill="auto"/>
          <w:lang w:val="en-US" w:eastAsia="zh-CN"/>
        </w:rPr>
        <w:t>导线</w:t>
      </w:r>
      <w:r>
        <w:rPr>
          <w:rFonts w:hint="eastAsia" w:hAnsi="宋体"/>
          <w:color w:val="auto"/>
          <w:szCs w:val="21"/>
          <w:highlight w:val="none"/>
          <w:shd w:val="clear" w:color="auto" w:fill="auto"/>
        </w:rPr>
        <w:t>）</w:t>
      </w:r>
      <w:r>
        <w:rPr>
          <w:rFonts w:hint="eastAsia" w:hAnsi="宋体"/>
          <w:color w:val="auto"/>
          <w:szCs w:val="21"/>
          <w:highlight w:val="none"/>
          <w:shd w:val="clear" w:color="auto" w:fill="auto"/>
          <w:lang w:val="en-US" w:eastAsia="zh-CN"/>
        </w:rPr>
        <w:t>施工及</w:t>
      </w:r>
      <w:r>
        <w:rPr>
          <w:rFonts w:hint="eastAsia" w:hAnsi="宋体"/>
          <w:color w:val="auto"/>
          <w:highlight w:val="none"/>
          <w:shd w:val="clear" w:color="auto" w:fill="auto"/>
        </w:rPr>
        <w:t>跨越电力线（是否需带电跨越应依据设计方案或本招标文件要求执行</w:t>
      </w:r>
      <w:r>
        <w:rPr>
          <w:rFonts w:hint="eastAsia" w:hAnsi="宋体"/>
          <w:color w:val="auto"/>
          <w:highlight w:val="none"/>
          <w:shd w:val="clear" w:color="auto" w:fill="auto"/>
          <w:lang w:eastAsia="zh-CN"/>
        </w:rPr>
        <w:t>，</w:t>
      </w:r>
      <w:r>
        <w:rPr>
          <w:rFonts w:hint="eastAsia" w:hAnsi="宋体"/>
          <w:color w:val="auto"/>
          <w:highlight w:val="none"/>
          <w:shd w:val="clear" w:color="auto" w:fill="auto"/>
          <w:lang w:val="en-US" w:eastAsia="zh-CN"/>
        </w:rPr>
        <w:t>工程建设期如发包人需调整，按照相关管理规定执行</w:t>
      </w:r>
      <w:r>
        <w:rPr>
          <w:rFonts w:hint="eastAsia" w:hAnsi="宋体"/>
          <w:color w:val="auto"/>
          <w:highlight w:val="none"/>
          <w:shd w:val="clear" w:color="auto" w:fill="auto"/>
        </w:rPr>
        <w:t>）</w:t>
      </w:r>
      <w:r>
        <w:rPr>
          <w:rFonts w:hint="eastAsia" w:hAnsi="宋体"/>
          <w:color w:val="auto"/>
          <w:highlight w:val="none"/>
          <w:shd w:val="clear" w:color="auto" w:fill="auto"/>
          <w:lang w:eastAsia="zh-CN"/>
        </w:rPr>
        <w:t>：</w:t>
      </w:r>
    </w:p>
    <w:p w14:paraId="54BD939C">
      <w:pPr>
        <w:pStyle w:val="6"/>
        <w:shd w:val="clear"/>
        <w:spacing w:line="360" w:lineRule="auto"/>
        <w:ind w:firstLine="420" w:firstLineChars="200"/>
        <w:rPr>
          <w:rFonts w:hint="eastAsia" w:hAnsi="宋体"/>
          <w:color w:val="auto"/>
          <w:highlight w:val="none"/>
          <w:shd w:val="clear" w:color="auto" w:fill="auto"/>
        </w:rPr>
      </w:pPr>
      <w:r>
        <w:rPr>
          <w:rFonts w:hint="eastAsia" w:hAnsi="宋体" w:eastAsia="宋体" w:cs="宋体"/>
          <w:color w:val="auto"/>
          <w:highlight w:val="none"/>
          <w:shd w:val="clear" w:color="auto" w:fill="auto"/>
          <w:lang w:val="en-US" w:eastAsia="zh-CN"/>
        </w:rPr>
        <w:t>□施工、</w:t>
      </w:r>
      <w:r>
        <w:rPr>
          <w:rFonts w:hint="eastAsia" w:hAnsi="宋体"/>
          <w:color w:val="auto"/>
          <w:highlight w:val="none"/>
          <w:shd w:val="clear" w:color="auto" w:fill="auto"/>
        </w:rPr>
        <w:t>措施</w:t>
      </w:r>
      <w:r>
        <w:rPr>
          <w:rFonts w:hint="eastAsia" w:hAnsi="宋体"/>
          <w:color w:val="auto"/>
          <w:highlight w:val="none"/>
          <w:shd w:val="clear" w:color="auto" w:fill="auto"/>
          <w:lang w:val="en-US" w:eastAsia="zh-CN"/>
        </w:rPr>
        <w:t>费</w:t>
      </w:r>
      <w:r>
        <w:rPr>
          <w:rFonts w:hint="eastAsia" w:hAnsi="宋体"/>
          <w:color w:val="auto"/>
          <w:highlight w:val="none"/>
          <w:shd w:val="clear" w:color="auto" w:fill="auto"/>
        </w:rPr>
        <w:t>及其施工申请手续均由中标单位负责办理及支付</w:t>
      </w:r>
      <w:r>
        <w:rPr>
          <w:rFonts w:hint="eastAsia" w:hAnsi="宋体"/>
          <w:color w:val="auto"/>
          <w:highlight w:val="none"/>
          <w:shd w:val="clear" w:color="auto" w:fill="auto"/>
          <w:lang w:eastAsia="zh-CN"/>
        </w:rPr>
        <w:t>，</w:t>
      </w:r>
      <w:r>
        <w:rPr>
          <w:rFonts w:hint="eastAsia" w:hAnsi="宋体"/>
          <w:color w:val="auto"/>
          <w:highlight w:val="none"/>
          <w:shd w:val="clear" w:color="auto" w:fill="auto"/>
          <w:lang w:val="en-US" w:eastAsia="zh-CN"/>
        </w:rPr>
        <w:t>相关费用计入正式合同价</w:t>
      </w:r>
      <w:r>
        <w:rPr>
          <w:rFonts w:hint="eastAsia" w:hAnsi="宋体"/>
          <w:color w:val="auto"/>
          <w:highlight w:val="none"/>
          <w:shd w:val="clear" w:color="auto" w:fill="auto"/>
        </w:rPr>
        <w:t>。</w:t>
      </w:r>
    </w:p>
    <w:p w14:paraId="47CA8EE4">
      <w:pPr>
        <w:pStyle w:val="6"/>
        <w:shd w:val="clear"/>
        <w:spacing w:line="360" w:lineRule="auto"/>
        <w:ind w:firstLine="420" w:firstLineChars="200"/>
        <w:rPr>
          <w:rFonts w:hint="eastAsia" w:hAnsi="宋体" w:eastAsia="宋体"/>
          <w:color w:val="auto"/>
          <w:highlight w:val="none"/>
          <w:shd w:val="clear" w:color="auto" w:fill="auto"/>
          <w:lang w:val="en-US" w:eastAsia="zh-CN"/>
        </w:rPr>
      </w:pPr>
      <w:r>
        <w:rPr>
          <w:rFonts w:hint="eastAsia" w:hAnsi="宋体" w:eastAsia="宋体" w:cs="宋体"/>
          <w:color w:val="auto"/>
          <w:highlight w:val="none"/>
          <w:shd w:val="clear" w:color="auto" w:fill="auto"/>
          <w:lang w:val="en-US" w:eastAsia="zh-CN"/>
        </w:rPr>
        <w:t>□</w:t>
      </w:r>
      <w:r>
        <w:rPr>
          <w:rFonts w:hint="eastAsia" w:hAnsi="宋体"/>
          <w:color w:val="auto"/>
          <w:highlight w:val="none"/>
          <w:shd w:val="clear" w:color="auto" w:fill="auto"/>
          <w:lang w:val="en-US" w:eastAsia="zh-CN"/>
        </w:rPr>
        <w:t>施工及措施费</w:t>
      </w:r>
      <w:r>
        <w:rPr>
          <w:rFonts w:hint="eastAsia" w:hAnsi="宋体"/>
          <w:color w:val="auto"/>
          <w:highlight w:val="none"/>
          <w:shd w:val="clear" w:color="auto" w:fill="auto"/>
        </w:rPr>
        <w:t>由中标单位负责，其施工申请手续</w:t>
      </w:r>
      <w:r>
        <w:rPr>
          <w:rFonts w:hint="eastAsia" w:hAnsi="宋体"/>
          <w:color w:val="auto"/>
          <w:highlight w:val="none"/>
          <w:shd w:val="clear" w:color="auto" w:fill="auto"/>
          <w:lang w:val="en-US" w:eastAsia="zh-CN"/>
        </w:rPr>
        <w:t>费</w:t>
      </w:r>
      <w:r>
        <w:rPr>
          <w:rFonts w:hint="eastAsia" w:hAnsi="宋体"/>
          <w:color w:val="auto"/>
          <w:highlight w:val="none"/>
          <w:shd w:val="clear" w:color="auto" w:fill="auto"/>
        </w:rPr>
        <w:t>由中标单位负责办理及支付，</w:t>
      </w:r>
      <w:r>
        <w:rPr>
          <w:rFonts w:hint="eastAsia" w:hAnsi="宋体"/>
          <w:b/>
          <w:bCs/>
          <w:color w:val="auto"/>
          <w:highlight w:val="none"/>
          <w:shd w:val="clear" w:color="auto" w:fill="auto"/>
          <w:lang w:val="en-US" w:eastAsia="zh-CN"/>
        </w:rPr>
        <w:t>35kV及以上</w:t>
      </w:r>
      <w:r>
        <w:rPr>
          <w:rFonts w:hint="eastAsia" w:hAnsi="宋体"/>
          <w:b/>
          <w:color w:val="auto"/>
          <w:highlight w:val="none"/>
          <w:shd w:val="clear" w:color="auto" w:fill="auto"/>
          <w:lang w:val="en-US" w:eastAsia="zh-CN"/>
        </w:rPr>
        <w:t>带电跨越</w:t>
      </w:r>
      <w:r>
        <w:rPr>
          <w:rFonts w:hint="eastAsia" w:hAnsi="宋体"/>
          <w:b/>
          <w:color w:val="auto"/>
          <w:highlight w:val="none"/>
          <w:shd w:val="clear" w:color="auto" w:fill="auto"/>
        </w:rPr>
        <w:t>措施费用不计入</w:t>
      </w:r>
      <w:r>
        <w:rPr>
          <w:rFonts w:hint="eastAsia" w:hAnsi="宋体"/>
          <w:b/>
          <w:color w:val="auto"/>
          <w:highlight w:val="none"/>
          <w:shd w:val="clear" w:color="auto" w:fill="auto"/>
          <w:lang w:val="en-US" w:eastAsia="zh-CN"/>
        </w:rPr>
        <w:t>正式合同价</w:t>
      </w:r>
      <w:r>
        <w:rPr>
          <w:rFonts w:hint="eastAsia" w:hAnsi="宋体"/>
          <w:b/>
          <w:color w:val="auto"/>
          <w:highlight w:val="none"/>
          <w:shd w:val="clear" w:color="auto" w:fill="auto"/>
        </w:rPr>
        <w:t>，</w:t>
      </w:r>
      <w:r>
        <w:rPr>
          <w:rFonts w:hint="eastAsia" w:hAnsi="宋体" w:cs="宋体"/>
          <w:color w:val="auto"/>
          <w:kern w:val="2"/>
          <w:highlight w:val="none"/>
          <w:shd w:val="clear" w:color="auto" w:fill="auto"/>
          <w:lang w:val="en-US" w:eastAsia="zh-CN"/>
        </w:rPr>
        <w:t>实际发生时</w:t>
      </w:r>
      <w:r>
        <w:rPr>
          <w:rFonts w:hint="eastAsia" w:ascii="宋体" w:hAnsi="宋体" w:cs="宋体"/>
          <w:color w:val="auto"/>
          <w:kern w:val="2"/>
          <w:highlight w:val="none"/>
          <w:shd w:val="clear" w:color="auto" w:fill="auto"/>
        </w:rPr>
        <w:t>根据</w:t>
      </w:r>
      <w:r>
        <w:rPr>
          <w:rFonts w:hint="eastAsia" w:hAnsi="宋体" w:cs="宋体"/>
          <w:color w:val="auto"/>
          <w:kern w:val="2"/>
          <w:highlight w:val="none"/>
          <w:shd w:val="clear" w:color="auto" w:fill="auto"/>
          <w:lang w:val="en-US" w:eastAsia="zh-CN"/>
        </w:rPr>
        <w:t>合同</w:t>
      </w:r>
      <w:r>
        <w:rPr>
          <w:rFonts w:hint="eastAsia" w:hAnsi="宋体"/>
          <w:color w:val="auto"/>
          <w:highlight w:val="none"/>
          <w:shd w:val="clear" w:color="auto" w:fill="auto"/>
          <w:lang w:val="en-US" w:eastAsia="zh-CN"/>
        </w:rPr>
        <w:t>专用条件14.1的原则</w:t>
      </w:r>
      <w:r>
        <w:rPr>
          <w:rFonts w:hint="eastAsia" w:ascii="宋体" w:hAnsi="宋体" w:cs="宋体"/>
          <w:color w:val="auto"/>
          <w:kern w:val="2"/>
          <w:highlight w:val="none"/>
          <w:shd w:val="clear" w:color="auto" w:fill="auto"/>
        </w:rPr>
        <w:t>进行结算</w:t>
      </w:r>
      <w:r>
        <w:rPr>
          <w:rFonts w:hint="eastAsia" w:hAnsi="宋体" w:cs="宋体"/>
          <w:color w:val="auto"/>
          <w:kern w:val="2"/>
          <w:highlight w:val="none"/>
          <w:shd w:val="clear" w:color="auto" w:fill="auto"/>
          <w:lang w:eastAsia="zh-CN"/>
        </w:rPr>
        <w:t>。</w:t>
      </w:r>
    </w:p>
    <w:p w14:paraId="70DA04F0">
      <w:pPr>
        <w:pStyle w:val="6"/>
        <w:shd w:val="clear"/>
        <w:spacing w:line="360" w:lineRule="auto"/>
        <w:ind w:firstLine="420" w:firstLineChars="200"/>
        <w:rPr>
          <w:rFonts w:hint="default" w:hAnsi="宋体"/>
          <w:bCs/>
          <w:color w:val="auto"/>
          <w:szCs w:val="21"/>
          <w:highlight w:val="none"/>
          <w:u w:val="single"/>
          <w:shd w:val="clear" w:color="auto" w:fill="auto"/>
          <w:lang w:val="en-US"/>
        </w:rPr>
      </w:pPr>
      <w:r>
        <w:rPr>
          <w:rFonts w:hint="eastAsia" w:hAnsi="宋体" w:cs="宋体"/>
          <w:color w:val="auto"/>
          <w:highlight w:val="none"/>
          <w:shd w:val="clear" w:color="auto" w:fill="auto"/>
          <w:lang w:val="en-US" w:eastAsia="zh-CN"/>
        </w:rPr>
        <w:t>☑</w:t>
      </w:r>
      <w:r>
        <w:rPr>
          <w:rFonts w:hint="eastAsia" w:hAnsi="宋体"/>
          <w:color w:val="auto"/>
          <w:highlight w:val="none"/>
          <w:shd w:val="clear" w:color="auto" w:fill="auto"/>
          <w:lang w:val="en-US" w:eastAsia="zh-CN"/>
        </w:rPr>
        <w:t>其他：</w:t>
      </w:r>
      <w:r>
        <w:rPr>
          <w:rFonts w:hint="eastAsia" w:hAnsi="宋体"/>
          <w:color w:val="auto"/>
          <w:highlight w:val="none"/>
          <w:u w:val="single"/>
          <w:shd w:val="clear" w:color="auto" w:fill="auto"/>
          <w:lang w:val="en-US" w:eastAsia="zh-CN"/>
        </w:rPr>
        <w:t>三维模型精细化校验费用、跨越10kV转供电措施费等（暂估）按项目实际发生的费用（经发包人确认）结算。</w:t>
      </w:r>
    </w:p>
    <w:p w14:paraId="1886E0F9">
      <w:pPr>
        <w:pStyle w:val="6"/>
        <w:shd w:val="clear"/>
        <w:spacing w:line="360" w:lineRule="auto"/>
        <w:ind w:firstLine="420" w:firstLineChars="200"/>
        <w:rPr>
          <w:rFonts w:hint="eastAsia" w:hAnsi="宋体"/>
          <w:color w:val="auto"/>
          <w:highlight w:val="none"/>
          <w:shd w:val="clear" w:color="auto" w:fill="auto"/>
          <w:lang w:eastAsia="zh-CN"/>
        </w:rPr>
      </w:pPr>
      <w:r>
        <w:rPr>
          <w:rFonts w:hint="eastAsia" w:ascii="宋体" w:hAnsi="宋体"/>
          <w:color w:val="auto"/>
          <w:szCs w:val="21"/>
          <w:highlight w:val="none"/>
        </w:rPr>
        <w:t>②</w:t>
      </w:r>
      <w:r>
        <w:rPr>
          <w:rFonts w:hint="eastAsia" w:hAnsi="宋体"/>
          <w:color w:val="auto"/>
          <w:highlight w:val="none"/>
          <w:shd w:val="clear" w:color="auto" w:fill="auto"/>
        </w:rPr>
        <w:t>通讯线</w:t>
      </w:r>
      <w:r>
        <w:rPr>
          <w:rFonts w:hint="eastAsia" w:hAnsi="宋体"/>
          <w:color w:val="auto"/>
          <w:highlight w:val="none"/>
          <w:shd w:val="clear" w:color="auto" w:fill="auto"/>
          <w:lang w:val="en-US" w:eastAsia="zh-CN"/>
        </w:rPr>
        <w:t>迁移</w:t>
      </w:r>
      <w:r>
        <w:rPr>
          <w:rFonts w:hint="eastAsia" w:hAnsi="宋体"/>
          <w:color w:val="auto"/>
          <w:highlight w:val="none"/>
          <w:shd w:val="clear" w:color="auto" w:fill="auto"/>
        </w:rPr>
        <w:t>、铁路、公路、河流及堤防、水库附近基础</w:t>
      </w:r>
      <w:r>
        <w:rPr>
          <w:rFonts w:hint="eastAsia" w:hAnsi="宋体"/>
          <w:color w:val="auto"/>
          <w:highlight w:val="none"/>
          <w:shd w:val="clear" w:color="auto" w:fill="auto"/>
          <w:lang w:val="en-US" w:eastAsia="zh-CN"/>
        </w:rPr>
        <w:t>措施费用</w:t>
      </w:r>
      <w:r>
        <w:rPr>
          <w:rFonts w:hint="eastAsia" w:hAnsi="宋体"/>
          <w:color w:val="auto"/>
          <w:highlight w:val="none"/>
          <w:shd w:val="clear" w:color="auto" w:fill="auto"/>
          <w:lang w:eastAsia="zh-CN"/>
        </w:rPr>
        <w:t>：</w:t>
      </w:r>
    </w:p>
    <w:p w14:paraId="3D07C21A">
      <w:pPr>
        <w:pStyle w:val="6"/>
        <w:shd w:val="clear"/>
        <w:spacing w:line="360" w:lineRule="auto"/>
        <w:ind w:firstLine="420" w:firstLineChars="200"/>
        <w:rPr>
          <w:rFonts w:hint="eastAsia" w:hAnsi="宋体"/>
          <w:color w:val="auto"/>
          <w:highlight w:val="none"/>
          <w:shd w:val="clear" w:color="auto" w:fill="auto"/>
        </w:rPr>
      </w:pPr>
      <w:r>
        <w:rPr>
          <w:rFonts w:hint="eastAsia" w:hAnsi="宋体" w:eastAsia="宋体" w:cs="宋体"/>
          <w:color w:val="auto"/>
          <w:highlight w:val="none"/>
          <w:shd w:val="clear" w:color="auto" w:fill="auto"/>
          <w:lang w:val="en-US" w:eastAsia="zh-CN"/>
        </w:rPr>
        <w:t>□施工、</w:t>
      </w:r>
      <w:r>
        <w:rPr>
          <w:rFonts w:hint="eastAsia" w:hAnsi="宋体"/>
          <w:color w:val="auto"/>
          <w:highlight w:val="none"/>
          <w:shd w:val="clear" w:color="auto" w:fill="auto"/>
        </w:rPr>
        <w:t>措施费及其施工申请手续均由中标单位负责办理及支付</w:t>
      </w:r>
      <w:r>
        <w:rPr>
          <w:rFonts w:hint="eastAsia" w:hAnsi="宋体"/>
          <w:color w:val="auto"/>
          <w:highlight w:val="none"/>
          <w:shd w:val="clear" w:color="auto" w:fill="auto"/>
          <w:lang w:eastAsia="zh-CN"/>
        </w:rPr>
        <w:t>，</w:t>
      </w:r>
      <w:r>
        <w:rPr>
          <w:rFonts w:hint="eastAsia" w:hAnsi="宋体"/>
          <w:color w:val="auto"/>
          <w:highlight w:val="none"/>
          <w:shd w:val="clear" w:color="auto" w:fill="auto"/>
          <w:lang w:val="en-US" w:eastAsia="zh-CN"/>
        </w:rPr>
        <w:t>相关费用计入正式合同价</w:t>
      </w:r>
      <w:r>
        <w:rPr>
          <w:rFonts w:hint="eastAsia" w:hAnsi="宋体"/>
          <w:color w:val="auto"/>
          <w:highlight w:val="none"/>
          <w:shd w:val="clear" w:color="auto" w:fill="auto"/>
        </w:rPr>
        <w:t>。</w:t>
      </w:r>
    </w:p>
    <w:p w14:paraId="39C26B18">
      <w:pPr>
        <w:pStyle w:val="6"/>
        <w:spacing w:line="360" w:lineRule="auto"/>
        <w:ind w:firstLine="420" w:firstLineChars="200"/>
        <w:rPr>
          <w:rFonts w:hint="eastAsia" w:hAnsi="宋体"/>
          <w:color w:val="auto"/>
          <w:highlight w:val="none"/>
          <w:shd w:val="clear" w:color="auto" w:fill="auto"/>
          <w:lang w:eastAsia="zh-CN"/>
        </w:rPr>
      </w:pPr>
      <w:r>
        <w:rPr>
          <w:rFonts w:hint="eastAsia" w:hAnsi="宋体" w:eastAsia="宋体" w:cs="宋体"/>
          <w:color w:val="auto"/>
          <w:highlight w:val="none"/>
          <w:shd w:val="clear" w:color="auto" w:fill="auto"/>
          <w:lang w:val="en-US" w:eastAsia="zh-CN"/>
        </w:rPr>
        <w:t>□</w:t>
      </w:r>
      <w:r>
        <w:rPr>
          <w:rFonts w:hint="eastAsia" w:hAnsi="宋体"/>
          <w:color w:val="auto"/>
          <w:highlight w:val="none"/>
          <w:shd w:val="clear" w:color="auto" w:fill="auto"/>
          <w:lang w:val="en-US" w:eastAsia="zh-CN"/>
        </w:rPr>
        <w:t>施工</w:t>
      </w:r>
      <w:r>
        <w:rPr>
          <w:rFonts w:hint="eastAsia" w:hAnsi="宋体"/>
          <w:color w:val="auto"/>
          <w:highlight w:val="none"/>
          <w:shd w:val="clear" w:color="auto" w:fill="auto"/>
        </w:rPr>
        <w:t>均由中标单位负责，其施工申请手续</w:t>
      </w:r>
      <w:r>
        <w:rPr>
          <w:rFonts w:hint="eastAsia" w:hAnsi="宋体"/>
          <w:color w:val="auto"/>
          <w:highlight w:val="none"/>
          <w:shd w:val="clear" w:color="auto" w:fill="auto"/>
          <w:lang w:val="en-US" w:eastAsia="zh-CN"/>
        </w:rPr>
        <w:t>费</w:t>
      </w:r>
      <w:r>
        <w:rPr>
          <w:rFonts w:hint="eastAsia" w:hAnsi="宋体"/>
          <w:color w:val="auto"/>
          <w:highlight w:val="none"/>
          <w:shd w:val="clear" w:color="auto" w:fill="auto"/>
        </w:rPr>
        <w:t>由中标单位负责办理及支付，</w:t>
      </w:r>
      <w:r>
        <w:rPr>
          <w:rFonts w:hint="eastAsia" w:hAnsi="宋体"/>
          <w:b/>
          <w:bCs/>
          <w:color w:val="auto"/>
          <w:highlight w:val="none"/>
          <w:shd w:val="clear" w:color="auto" w:fill="auto"/>
        </w:rPr>
        <w:t>其中</w:t>
      </w:r>
      <w:r>
        <w:rPr>
          <w:rFonts w:hint="eastAsia" w:hAnsi="宋体"/>
          <w:b/>
          <w:color w:val="auto"/>
          <w:highlight w:val="none"/>
          <w:shd w:val="clear" w:color="auto" w:fill="auto"/>
        </w:rPr>
        <w:t>通航河流封航、高速公路、铁路跨越</w:t>
      </w:r>
      <w:r>
        <w:rPr>
          <w:rFonts w:hint="eastAsia" w:hAnsi="宋体"/>
          <w:b/>
          <w:color w:val="auto"/>
          <w:highlight w:val="none"/>
          <w:shd w:val="clear" w:color="auto" w:fill="auto"/>
          <w:lang w:val="en-US" w:eastAsia="zh-CN"/>
        </w:rPr>
        <w:t>及</w:t>
      </w:r>
      <w:r>
        <w:rPr>
          <w:rFonts w:hint="eastAsia" w:hAnsi="宋体"/>
          <w:b/>
          <w:color w:val="auto"/>
          <w:highlight w:val="none"/>
          <w:shd w:val="clear" w:color="auto" w:fill="auto"/>
        </w:rPr>
        <w:t>措施费用</w:t>
      </w:r>
      <w:r>
        <w:rPr>
          <w:rFonts w:hint="eastAsia" w:hAnsi="宋体"/>
          <w:b/>
          <w:color w:val="auto"/>
          <w:highlight w:val="none"/>
          <w:shd w:val="clear" w:color="auto" w:fill="auto"/>
          <w:lang w:val="en-US" w:eastAsia="zh-CN"/>
        </w:rPr>
        <w:t>及手续费</w:t>
      </w:r>
      <w:r>
        <w:rPr>
          <w:rFonts w:hint="eastAsia" w:hAnsi="宋体"/>
          <w:b/>
          <w:color w:val="auto"/>
          <w:highlight w:val="none"/>
          <w:shd w:val="clear" w:color="auto" w:fill="auto"/>
        </w:rPr>
        <w:t>不计入</w:t>
      </w:r>
      <w:r>
        <w:rPr>
          <w:rFonts w:hint="eastAsia" w:hAnsi="宋体"/>
          <w:b/>
          <w:color w:val="auto"/>
          <w:highlight w:val="none"/>
          <w:shd w:val="clear" w:color="auto" w:fill="auto"/>
          <w:lang w:val="en-US" w:eastAsia="zh-CN"/>
        </w:rPr>
        <w:t>正式合同价</w:t>
      </w:r>
      <w:r>
        <w:rPr>
          <w:rFonts w:hint="eastAsia" w:hAnsi="宋体"/>
          <w:b/>
          <w:color w:val="auto"/>
          <w:highlight w:val="none"/>
          <w:shd w:val="clear" w:color="auto" w:fill="auto"/>
        </w:rPr>
        <w:t>，按实际发生的费用（经发包人确认）结算</w:t>
      </w:r>
      <w:r>
        <w:rPr>
          <w:rFonts w:hint="eastAsia" w:hAnsi="宋体"/>
          <w:color w:val="auto"/>
          <w:highlight w:val="none"/>
          <w:shd w:val="clear" w:color="auto" w:fill="auto"/>
          <w:lang w:eastAsia="zh-CN"/>
        </w:rPr>
        <w:t>。</w:t>
      </w:r>
    </w:p>
    <w:p w14:paraId="7EA0E957">
      <w:pPr>
        <w:pStyle w:val="6"/>
        <w:spacing w:line="360" w:lineRule="auto"/>
        <w:ind w:firstLine="420" w:firstLineChars="200"/>
        <w:rPr>
          <w:rFonts w:hint="default" w:hAnsi="宋体"/>
          <w:bCs/>
          <w:color w:val="auto"/>
          <w:szCs w:val="21"/>
          <w:highlight w:val="none"/>
          <w:u w:val="single"/>
          <w:shd w:val="clear" w:color="auto" w:fill="auto"/>
          <w:lang w:val="en-US"/>
        </w:rPr>
      </w:pPr>
      <w:r>
        <w:rPr>
          <w:rFonts w:hint="eastAsia" w:hAnsi="宋体" w:eastAsia="宋体" w:cs="宋体"/>
          <w:color w:val="auto"/>
          <w:highlight w:val="none"/>
          <w:shd w:val="clear" w:color="auto" w:fill="auto"/>
          <w:lang w:val="en-US" w:eastAsia="zh-CN"/>
        </w:rPr>
        <w:t>□</w:t>
      </w:r>
      <w:r>
        <w:rPr>
          <w:rFonts w:hint="eastAsia" w:hAnsi="宋体"/>
          <w:color w:val="auto"/>
          <w:highlight w:val="none"/>
          <w:shd w:val="clear" w:color="auto" w:fill="auto"/>
          <w:lang w:val="en-US" w:eastAsia="zh-CN"/>
        </w:rPr>
        <w:t>其他：</w:t>
      </w:r>
      <w:r>
        <w:rPr>
          <w:rFonts w:hint="eastAsia" w:hAnsi="宋体"/>
          <w:color w:val="auto"/>
          <w:highlight w:val="none"/>
          <w:u w:val="single"/>
          <w:shd w:val="clear" w:color="auto" w:fill="auto"/>
          <w:lang w:val="en-US" w:eastAsia="zh-CN"/>
        </w:rPr>
        <w:t xml:space="preserve">   施工</w:t>
      </w:r>
      <w:r>
        <w:rPr>
          <w:rFonts w:hint="eastAsia" w:hAnsi="宋体"/>
          <w:color w:val="auto"/>
          <w:highlight w:val="none"/>
          <w:u w:val="single"/>
          <w:shd w:val="clear" w:color="auto" w:fill="auto"/>
        </w:rPr>
        <w:t>均由中标单位负责，其施工申请手续</w:t>
      </w:r>
      <w:r>
        <w:rPr>
          <w:rFonts w:hint="eastAsia" w:hAnsi="宋体"/>
          <w:color w:val="auto"/>
          <w:highlight w:val="none"/>
          <w:u w:val="single"/>
          <w:shd w:val="clear" w:color="auto" w:fill="auto"/>
          <w:lang w:val="en-US" w:eastAsia="zh-CN"/>
        </w:rPr>
        <w:t>费</w:t>
      </w:r>
      <w:r>
        <w:rPr>
          <w:rFonts w:hint="eastAsia" w:hAnsi="宋体"/>
          <w:color w:val="auto"/>
          <w:highlight w:val="none"/>
          <w:u w:val="single"/>
          <w:shd w:val="clear" w:color="auto" w:fill="auto"/>
        </w:rPr>
        <w:t>由中标单位负责办理及支付，</w:t>
      </w:r>
      <w:r>
        <w:rPr>
          <w:rFonts w:hint="eastAsia" w:hAnsi="宋体"/>
          <w:b/>
          <w:bCs/>
          <w:color w:val="auto"/>
          <w:highlight w:val="none"/>
          <w:u w:val="single"/>
          <w:shd w:val="clear" w:color="auto" w:fill="auto"/>
        </w:rPr>
        <w:t>其中</w:t>
      </w:r>
      <w:r>
        <w:rPr>
          <w:rFonts w:hint="eastAsia" w:hAnsi="宋体"/>
          <w:b/>
          <w:color w:val="auto"/>
          <w:highlight w:val="none"/>
          <w:u w:val="single"/>
          <w:shd w:val="clear" w:color="auto" w:fill="auto"/>
          <w:lang w:val="en-US" w:eastAsia="zh-CN"/>
        </w:rPr>
        <w:t>*******及</w:t>
      </w:r>
      <w:r>
        <w:rPr>
          <w:rFonts w:hint="eastAsia" w:hAnsi="宋体"/>
          <w:b/>
          <w:color w:val="auto"/>
          <w:highlight w:val="none"/>
          <w:u w:val="single"/>
          <w:shd w:val="clear" w:color="auto" w:fill="auto"/>
        </w:rPr>
        <w:t>措施费用</w:t>
      </w:r>
      <w:r>
        <w:rPr>
          <w:rFonts w:hint="eastAsia" w:hAnsi="宋体"/>
          <w:b/>
          <w:color w:val="auto"/>
          <w:highlight w:val="none"/>
          <w:u w:val="single"/>
          <w:shd w:val="clear" w:color="auto" w:fill="auto"/>
          <w:lang w:val="en-US" w:eastAsia="zh-CN"/>
        </w:rPr>
        <w:t>及手续费不</w:t>
      </w:r>
      <w:r>
        <w:rPr>
          <w:rFonts w:hint="eastAsia" w:hAnsi="宋体"/>
          <w:b/>
          <w:color w:val="auto"/>
          <w:highlight w:val="none"/>
          <w:u w:val="single"/>
          <w:shd w:val="clear" w:color="auto" w:fill="auto"/>
        </w:rPr>
        <w:t>计入</w:t>
      </w:r>
      <w:r>
        <w:rPr>
          <w:rFonts w:hint="eastAsia" w:hAnsi="宋体"/>
          <w:b/>
          <w:color w:val="auto"/>
          <w:highlight w:val="none"/>
          <w:u w:val="single"/>
          <w:shd w:val="clear" w:color="auto" w:fill="auto"/>
          <w:lang w:val="en-US" w:eastAsia="zh-CN"/>
        </w:rPr>
        <w:t>正式合同价</w:t>
      </w:r>
      <w:r>
        <w:rPr>
          <w:rFonts w:hint="eastAsia" w:hAnsi="宋体"/>
          <w:b/>
          <w:color w:val="auto"/>
          <w:highlight w:val="none"/>
          <w:u w:val="single"/>
          <w:shd w:val="clear" w:color="auto" w:fill="auto"/>
        </w:rPr>
        <w:t>，按实际发生的费用（经发包人确认）结算</w:t>
      </w:r>
      <w:r>
        <w:rPr>
          <w:rFonts w:hint="eastAsia" w:hAnsi="宋体"/>
          <w:color w:val="auto"/>
          <w:highlight w:val="none"/>
          <w:u w:val="single"/>
          <w:shd w:val="clear" w:color="auto" w:fill="auto"/>
          <w:lang w:eastAsia="zh-CN"/>
        </w:rPr>
        <w:t>。</w:t>
      </w:r>
    </w:p>
    <w:p w14:paraId="60141FDF">
      <w:pPr>
        <w:pStyle w:val="6"/>
        <w:spacing w:line="360" w:lineRule="auto"/>
        <w:ind w:firstLine="420" w:firstLineChars="200"/>
        <w:rPr>
          <w:rFonts w:hint="eastAsia" w:hAnsi="宋体" w:eastAsia="宋体"/>
          <w:color w:val="auto"/>
          <w:highlight w:val="none"/>
          <w:shd w:val="clear" w:color="auto" w:fill="auto"/>
          <w:lang w:val="en-US" w:eastAsia="zh-CN"/>
        </w:rPr>
      </w:pPr>
      <w:r>
        <w:rPr>
          <w:rFonts w:hint="eastAsia" w:ascii="宋体" w:hAnsi="宋体"/>
          <w:color w:val="auto"/>
          <w:szCs w:val="21"/>
          <w:highlight w:val="none"/>
        </w:rPr>
        <w:t>③</w:t>
      </w:r>
      <w:r>
        <w:rPr>
          <w:rFonts w:hint="eastAsia" w:hAnsi="宋体"/>
          <w:bCs/>
          <w:color w:val="auto"/>
          <w:szCs w:val="21"/>
          <w:highlight w:val="none"/>
          <w:shd w:val="clear" w:color="auto" w:fill="auto"/>
        </w:rPr>
        <w:t>重要跨越耐张线夹</w:t>
      </w:r>
      <w:r>
        <w:rPr>
          <w:rFonts w:hAnsi="宋体"/>
          <w:bCs/>
          <w:color w:val="auto"/>
          <w:szCs w:val="21"/>
          <w:highlight w:val="none"/>
          <w:shd w:val="clear" w:color="auto" w:fill="auto"/>
        </w:rPr>
        <w:t>X</w:t>
      </w:r>
      <w:r>
        <w:rPr>
          <w:rFonts w:hint="eastAsia" w:hAnsi="宋体"/>
          <w:bCs/>
          <w:color w:val="auto"/>
          <w:szCs w:val="21"/>
          <w:highlight w:val="none"/>
          <w:shd w:val="clear" w:color="auto" w:fill="auto"/>
        </w:rPr>
        <w:t>光检测</w:t>
      </w:r>
      <w:r>
        <w:rPr>
          <w:rFonts w:hint="eastAsia" w:hAnsi="宋体"/>
          <w:bCs/>
          <w:color w:val="auto"/>
          <w:szCs w:val="21"/>
          <w:highlight w:val="none"/>
          <w:shd w:val="clear" w:color="auto" w:fill="auto"/>
          <w:lang w:eastAsia="zh-CN"/>
        </w:rPr>
        <w:t>：</w:t>
      </w:r>
    </w:p>
    <w:p w14:paraId="53518C3D">
      <w:pPr>
        <w:pStyle w:val="6"/>
        <w:spacing w:line="360" w:lineRule="auto"/>
        <w:ind w:firstLine="420" w:firstLineChars="200"/>
        <w:rPr>
          <w:rFonts w:hint="eastAsia" w:hAnsi="宋体"/>
          <w:color w:val="auto"/>
          <w:highlight w:val="none"/>
          <w:shd w:val="clear" w:color="auto" w:fill="auto"/>
        </w:rPr>
      </w:pPr>
      <w:r>
        <w:rPr>
          <w:rFonts w:hint="eastAsia" w:hAnsi="宋体"/>
          <w:color w:val="auto"/>
          <w:highlight w:val="none"/>
          <w:shd w:val="clear" w:color="auto" w:fill="auto"/>
          <w:lang w:eastAsia="zh-CN"/>
        </w:rPr>
        <w:t>☑</w:t>
      </w:r>
      <w:r>
        <w:rPr>
          <w:rFonts w:hint="eastAsia" w:hAnsi="宋体" w:eastAsia="宋体" w:cs="宋体"/>
          <w:color w:val="auto"/>
          <w:highlight w:val="none"/>
          <w:shd w:val="clear" w:color="auto" w:fill="auto"/>
          <w:lang w:val="en-US" w:eastAsia="zh-CN"/>
        </w:rPr>
        <w:t>不包含</w:t>
      </w:r>
      <w:r>
        <w:rPr>
          <w:rFonts w:hint="eastAsia" w:hAnsi="宋体" w:eastAsia="宋体"/>
          <w:color w:val="auto"/>
          <w:highlight w:val="none"/>
          <w:shd w:val="clear" w:color="auto" w:fill="auto"/>
          <w:lang w:eastAsia="zh-CN"/>
        </w:rPr>
        <w:t>，</w:t>
      </w:r>
      <w:r>
        <w:rPr>
          <w:rFonts w:hAnsi="宋体"/>
          <w:bCs/>
          <w:color w:val="auto"/>
          <w:szCs w:val="21"/>
          <w:highlight w:val="none"/>
          <w:shd w:val="clear" w:color="auto" w:fill="auto"/>
        </w:rPr>
        <w:t>X</w:t>
      </w:r>
      <w:r>
        <w:rPr>
          <w:rFonts w:hint="eastAsia" w:hAnsi="宋体"/>
          <w:bCs/>
          <w:color w:val="auto"/>
          <w:szCs w:val="21"/>
          <w:highlight w:val="none"/>
          <w:shd w:val="clear" w:color="auto" w:fill="auto"/>
        </w:rPr>
        <w:t>光检测由</w:t>
      </w:r>
      <w:r>
        <w:rPr>
          <w:rFonts w:hint="eastAsia" w:hAnsi="宋体"/>
          <w:bCs/>
          <w:color w:val="auto"/>
          <w:szCs w:val="21"/>
          <w:highlight w:val="none"/>
          <w:shd w:val="clear" w:color="auto" w:fill="auto"/>
          <w:lang w:val="en-US" w:eastAsia="zh-CN"/>
        </w:rPr>
        <w:t>发包人</w:t>
      </w:r>
      <w:r>
        <w:rPr>
          <w:rFonts w:hint="eastAsia" w:hAnsi="宋体"/>
          <w:bCs/>
          <w:color w:val="auto"/>
          <w:szCs w:val="21"/>
          <w:highlight w:val="none"/>
          <w:shd w:val="clear" w:color="auto" w:fill="auto"/>
        </w:rPr>
        <w:t>委托第三方开展。</w:t>
      </w:r>
    </w:p>
    <w:p w14:paraId="272D86E1">
      <w:pPr>
        <w:pStyle w:val="6"/>
        <w:spacing w:line="360" w:lineRule="auto"/>
        <w:ind w:firstLine="420" w:firstLineChars="200"/>
        <w:rPr>
          <w:rFonts w:hint="default" w:hAnsi="宋体" w:eastAsia="宋体"/>
          <w:color w:val="auto"/>
          <w:szCs w:val="21"/>
          <w:highlight w:val="none"/>
          <w:shd w:val="clear" w:color="auto" w:fill="auto"/>
          <w:lang w:val="en-US" w:eastAsia="zh-CN"/>
        </w:rPr>
      </w:pPr>
      <w:r>
        <w:rPr>
          <w:rFonts w:hint="eastAsia" w:hAnsi="宋体" w:eastAsia="宋体" w:cs="宋体"/>
          <w:color w:val="auto"/>
          <w:highlight w:val="none"/>
          <w:shd w:val="clear" w:color="auto" w:fill="auto"/>
          <w:lang w:val="en-US" w:eastAsia="zh-CN"/>
        </w:rPr>
        <w:t>□包含，</w:t>
      </w:r>
      <w:r>
        <w:rPr>
          <w:rFonts w:hAnsi="宋体"/>
          <w:bCs/>
          <w:color w:val="auto"/>
          <w:szCs w:val="21"/>
          <w:highlight w:val="none"/>
          <w:shd w:val="clear" w:color="auto" w:fill="auto"/>
        </w:rPr>
        <w:t>X</w:t>
      </w:r>
      <w:r>
        <w:rPr>
          <w:rFonts w:hint="eastAsia" w:hAnsi="宋体"/>
          <w:bCs/>
          <w:color w:val="auto"/>
          <w:szCs w:val="21"/>
          <w:highlight w:val="none"/>
          <w:shd w:val="clear" w:color="auto" w:fill="auto"/>
        </w:rPr>
        <w:t>光检测</w:t>
      </w:r>
      <w:r>
        <w:rPr>
          <w:rFonts w:hint="eastAsia" w:hAnsi="宋体"/>
          <w:bCs/>
          <w:color w:val="auto"/>
          <w:szCs w:val="21"/>
          <w:highlight w:val="none"/>
          <w:shd w:val="clear" w:color="auto" w:fill="auto"/>
          <w:lang w:val="en-US" w:eastAsia="zh-CN"/>
        </w:rPr>
        <w:t>由中标单位委托，</w:t>
      </w:r>
      <w:r>
        <w:rPr>
          <w:rFonts w:hint="eastAsia" w:hAnsi="宋体"/>
          <w:b w:val="0"/>
          <w:bCs/>
          <w:color w:val="auto"/>
          <w:szCs w:val="21"/>
          <w:highlight w:val="none"/>
          <w:shd w:val="clear" w:color="auto" w:fill="auto"/>
          <w:lang w:val="en-US" w:eastAsia="zh-CN"/>
        </w:rPr>
        <w:t>相关费用</w:t>
      </w:r>
      <w:r>
        <w:rPr>
          <w:rFonts w:hint="eastAsia" w:hAnsi="宋体"/>
          <w:b w:val="0"/>
          <w:bCs/>
          <w:color w:val="auto"/>
          <w:highlight w:val="none"/>
          <w:shd w:val="clear" w:color="auto" w:fill="auto"/>
        </w:rPr>
        <w:t>计入</w:t>
      </w:r>
      <w:r>
        <w:rPr>
          <w:rFonts w:hint="eastAsia" w:hAnsi="宋体"/>
          <w:b w:val="0"/>
          <w:bCs/>
          <w:color w:val="auto"/>
          <w:highlight w:val="none"/>
          <w:shd w:val="clear" w:color="auto" w:fill="auto"/>
          <w:lang w:val="en-US" w:eastAsia="zh-CN"/>
        </w:rPr>
        <w:t>正式合同</w:t>
      </w:r>
      <w:r>
        <w:rPr>
          <w:rFonts w:hint="eastAsia" w:hAnsi="宋体"/>
          <w:b w:val="0"/>
          <w:bCs/>
          <w:color w:val="auto"/>
          <w:highlight w:val="none"/>
          <w:shd w:val="clear" w:color="auto" w:fill="auto"/>
        </w:rPr>
        <w:t>价</w:t>
      </w:r>
      <w:r>
        <w:rPr>
          <w:rFonts w:hint="eastAsia" w:hAnsi="宋体"/>
          <w:bCs/>
          <w:color w:val="auto"/>
          <w:szCs w:val="21"/>
          <w:highlight w:val="none"/>
          <w:shd w:val="clear" w:color="auto" w:fill="auto"/>
        </w:rPr>
        <w:t>。</w:t>
      </w:r>
    </w:p>
    <w:p w14:paraId="4D5B279E">
      <w:pPr>
        <w:pStyle w:val="6"/>
        <w:shd w:val="clear"/>
        <w:spacing w:line="360" w:lineRule="auto"/>
        <w:ind w:firstLine="480" w:firstLineChars="200"/>
        <w:rPr>
          <w:rFonts w:hAnsi="宋体"/>
          <w:color w:val="auto"/>
          <w:highlight w:val="none"/>
          <w:shd w:val="clear" w:color="auto" w:fill="auto"/>
        </w:rPr>
      </w:pPr>
      <w:r>
        <w:rPr>
          <w:rFonts w:hint="eastAsia" w:ascii="宋体" w:hAnsi="宋体"/>
          <w:color w:val="auto"/>
          <w:sz w:val="24"/>
          <w:szCs w:val="24"/>
          <w:highlight w:val="none"/>
          <w:shd w:val="clear" w:color="auto" w:fill="auto"/>
        </w:rPr>
        <w:t>（</w:t>
      </w:r>
      <w:r>
        <w:rPr>
          <w:rFonts w:hint="eastAsia" w:hAnsi="宋体"/>
          <w:color w:val="auto"/>
          <w:sz w:val="24"/>
          <w:szCs w:val="24"/>
          <w:highlight w:val="none"/>
          <w:shd w:val="clear" w:color="auto" w:fill="auto"/>
          <w:lang w:val="en-US" w:eastAsia="zh-CN"/>
        </w:rPr>
        <w:t>7</w:t>
      </w:r>
      <w:r>
        <w:rPr>
          <w:rFonts w:hint="eastAsia" w:ascii="宋体" w:hAnsi="宋体"/>
          <w:color w:val="auto"/>
          <w:sz w:val="24"/>
          <w:szCs w:val="24"/>
          <w:highlight w:val="none"/>
          <w:shd w:val="clear" w:color="auto" w:fill="auto"/>
        </w:rPr>
        <w:t>）</w:t>
      </w:r>
      <w:r>
        <w:rPr>
          <w:rFonts w:hint="eastAsia" w:hAnsi="宋体"/>
          <w:color w:val="auto"/>
          <w:highlight w:val="none"/>
          <w:shd w:val="clear" w:color="auto" w:fill="auto"/>
        </w:rPr>
        <w:t>电缆工程</w:t>
      </w:r>
      <w:r>
        <w:rPr>
          <w:rFonts w:hint="eastAsia" w:hAnsi="宋体"/>
          <w:color w:val="auto"/>
          <w:highlight w:val="none"/>
          <w:shd w:val="clear" w:color="auto" w:fill="auto"/>
          <w:lang w:eastAsia="zh-CN"/>
        </w:rPr>
        <w:t>（有□的项目，</w:t>
      </w:r>
      <w:r>
        <w:rPr>
          <w:rFonts w:hint="eastAsia" w:hAnsi="宋体"/>
          <w:color w:val="auto"/>
          <w:highlight w:val="none"/>
          <w:shd w:val="clear" w:color="auto" w:fill="auto"/>
          <w:lang w:val="en-US" w:eastAsia="zh-CN"/>
        </w:rPr>
        <w:t>按照</w:t>
      </w:r>
      <w:r>
        <w:rPr>
          <w:rFonts w:hint="eastAsia" w:hAnsi="宋体" w:eastAsia="宋体" w:cs="宋体"/>
          <w:color w:val="auto"/>
          <w:highlight w:val="none"/>
          <w:shd w:val="clear" w:color="auto" w:fill="auto"/>
          <w:lang w:val="en-US" w:eastAsia="zh-CN"/>
        </w:rPr>
        <w:t>□</w:t>
      </w:r>
      <w:r>
        <w:rPr>
          <w:rFonts w:hint="eastAsia" w:hAnsi="宋体"/>
          <w:color w:val="auto"/>
          <w:highlight w:val="none"/>
          <w:shd w:val="clear" w:color="auto" w:fill="auto"/>
          <w:lang w:val="en-US" w:eastAsia="zh-CN"/>
        </w:rPr>
        <w:t>内</w:t>
      </w:r>
      <w:r>
        <w:rPr>
          <w:rFonts w:hint="eastAsia" w:hAnsi="宋体"/>
          <w:color w:val="auto"/>
          <w:highlight w:val="none"/>
          <w:shd w:val="clear" w:color="auto" w:fill="auto"/>
          <w:lang w:eastAsia="zh-CN"/>
        </w:rPr>
        <w:t>打√的</w:t>
      </w:r>
      <w:r>
        <w:rPr>
          <w:rFonts w:hint="eastAsia" w:hAnsi="宋体"/>
          <w:color w:val="auto"/>
          <w:highlight w:val="none"/>
          <w:shd w:val="clear" w:color="auto" w:fill="auto"/>
          <w:lang w:val="en-US" w:eastAsia="zh-CN"/>
        </w:rPr>
        <w:t>执行</w:t>
      </w:r>
      <w:r>
        <w:rPr>
          <w:rFonts w:hint="eastAsia" w:hAnsi="宋体"/>
          <w:color w:val="auto"/>
          <w:highlight w:val="none"/>
          <w:shd w:val="clear" w:color="auto" w:fill="auto"/>
          <w:lang w:eastAsia="zh-CN"/>
        </w:rPr>
        <w:t>）</w:t>
      </w:r>
      <w:r>
        <w:rPr>
          <w:rFonts w:hint="eastAsia" w:hAnsi="宋体"/>
          <w:color w:val="auto"/>
          <w:highlight w:val="none"/>
          <w:shd w:val="clear" w:color="auto" w:fill="auto"/>
        </w:rPr>
        <w:t>：</w:t>
      </w:r>
    </w:p>
    <w:p w14:paraId="17DAFEB3">
      <w:pPr>
        <w:pStyle w:val="6"/>
        <w:shd w:val="clear"/>
        <w:spacing w:line="360" w:lineRule="auto"/>
        <w:ind w:firstLine="420" w:firstLineChars="200"/>
        <w:rPr>
          <w:rFonts w:hAnsi="宋体"/>
          <w:color w:val="auto"/>
          <w:highlight w:val="none"/>
          <w:shd w:val="clear" w:color="auto" w:fill="auto"/>
        </w:rPr>
      </w:pPr>
      <w:r>
        <w:rPr>
          <w:rFonts w:hint="eastAsia" w:hAnsi="宋体"/>
          <w:color w:val="auto"/>
          <w:highlight w:val="none"/>
          <w:shd w:val="clear" w:color="auto" w:fill="auto"/>
          <w:lang w:eastAsia="zh-CN"/>
        </w:rPr>
        <w:t>□</w:t>
      </w:r>
      <w:r>
        <w:rPr>
          <w:rFonts w:hint="eastAsia" w:hAnsi="宋体"/>
          <w:color w:val="auto"/>
          <w:highlight w:val="none"/>
          <w:shd w:val="clear" w:color="auto" w:fill="auto"/>
        </w:rPr>
        <w:t>施工期间道路临时占用、路面破复、人行道修理、地下市政下水道水井、通信管道、旧电缆迁移、绿化树木赔偿等工作均由中标承包方负责完成；</w:t>
      </w:r>
      <w:r>
        <w:rPr>
          <w:rFonts w:hint="eastAsia" w:hAnsi="宋体"/>
          <w:b/>
          <w:bCs/>
          <w:color w:val="auto"/>
          <w:highlight w:val="none"/>
          <w:shd w:val="clear" w:color="auto" w:fill="auto"/>
        </w:rPr>
        <w:t>其中地下市政下水道水井、通信管道迁移费用不计入</w:t>
      </w:r>
      <w:r>
        <w:rPr>
          <w:rFonts w:hint="eastAsia" w:hAnsi="宋体"/>
          <w:b/>
          <w:bCs/>
          <w:color w:val="auto"/>
          <w:highlight w:val="none"/>
          <w:shd w:val="clear" w:color="auto" w:fill="auto"/>
          <w:lang w:val="en-US" w:eastAsia="zh-CN"/>
        </w:rPr>
        <w:t>正式合同</w:t>
      </w:r>
      <w:r>
        <w:rPr>
          <w:rFonts w:hint="eastAsia" w:hAnsi="宋体"/>
          <w:b/>
          <w:bCs/>
          <w:color w:val="auto"/>
          <w:highlight w:val="none"/>
          <w:shd w:val="clear" w:color="auto" w:fill="auto"/>
        </w:rPr>
        <w:t>价，按项目实际发生的费用（经发包人确认）结算。</w:t>
      </w:r>
    </w:p>
    <w:p w14:paraId="7B3187A0">
      <w:pPr>
        <w:pStyle w:val="6"/>
        <w:shd w:val="clear"/>
        <w:spacing w:line="360" w:lineRule="auto"/>
        <w:ind w:firstLine="420" w:firstLineChars="200"/>
        <w:rPr>
          <w:rFonts w:hAnsi="宋体"/>
          <w:color w:val="auto"/>
          <w:highlight w:val="none"/>
          <w:shd w:val="clear" w:color="auto" w:fill="auto"/>
        </w:rPr>
      </w:pPr>
      <w:r>
        <w:rPr>
          <w:rFonts w:hint="eastAsia" w:hAnsi="宋体" w:eastAsia="宋体" w:cs="宋体"/>
          <w:color w:val="auto"/>
          <w:highlight w:val="none"/>
          <w:shd w:val="clear" w:color="auto" w:fill="auto"/>
          <w:lang w:val="en-US" w:eastAsia="zh-CN"/>
        </w:rPr>
        <w:t>□</w:t>
      </w:r>
      <w:r>
        <w:rPr>
          <w:rFonts w:hint="eastAsia" w:hAnsi="宋体"/>
          <w:color w:val="auto"/>
          <w:highlight w:val="none"/>
          <w:shd w:val="clear" w:color="auto" w:fill="auto"/>
        </w:rPr>
        <w:t>施工期间道路临时占用、路面破复、人行道修理、地下市政下水道水井、通信管道、旧电缆迁移、绿化树木赔偿等工作均由中标承包方负责完成</w:t>
      </w:r>
      <w:r>
        <w:rPr>
          <w:rFonts w:hint="eastAsia" w:hAnsi="宋体"/>
          <w:color w:val="auto"/>
          <w:highlight w:val="none"/>
          <w:shd w:val="clear" w:color="auto" w:fill="auto"/>
          <w:lang w:eastAsia="zh-CN"/>
        </w:rPr>
        <w:t>，</w:t>
      </w:r>
      <w:r>
        <w:rPr>
          <w:rFonts w:hint="eastAsia" w:hAnsi="宋体"/>
          <w:color w:val="auto"/>
          <w:highlight w:val="none"/>
          <w:shd w:val="clear" w:color="auto" w:fill="auto"/>
          <w:lang w:val="en-US" w:eastAsia="zh-CN"/>
        </w:rPr>
        <w:t>相关费用计入正式合同价</w:t>
      </w:r>
      <w:r>
        <w:rPr>
          <w:rFonts w:hint="eastAsia" w:hAnsi="宋体"/>
          <w:color w:val="auto"/>
          <w:highlight w:val="none"/>
          <w:shd w:val="clear" w:color="auto" w:fill="auto"/>
        </w:rPr>
        <w:t>。</w:t>
      </w:r>
    </w:p>
    <w:p w14:paraId="6C0722E3">
      <w:pPr>
        <w:pStyle w:val="6"/>
        <w:shd w:val="clear"/>
        <w:spacing w:line="360" w:lineRule="auto"/>
        <w:ind w:firstLine="420" w:firstLineChars="200"/>
        <w:rPr>
          <w:rFonts w:hint="default" w:hAnsi="宋体"/>
          <w:bCs/>
          <w:color w:val="auto"/>
          <w:szCs w:val="21"/>
          <w:highlight w:val="none"/>
          <w:u w:val="single"/>
          <w:shd w:val="clear" w:color="auto" w:fill="auto"/>
          <w:lang w:val="en-US"/>
        </w:rPr>
      </w:pPr>
      <w:r>
        <w:rPr>
          <w:rFonts w:hint="eastAsia" w:hAnsi="宋体" w:cs="宋体"/>
          <w:color w:val="auto"/>
          <w:highlight w:val="none"/>
          <w:shd w:val="clear" w:color="auto" w:fill="auto"/>
          <w:lang w:val="en-US" w:eastAsia="zh-CN"/>
        </w:rPr>
        <w:t>☑</w:t>
      </w:r>
      <w:r>
        <w:rPr>
          <w:rFonts w:hint="eastAsia" w:hAnsi="宋体"/>
          <w:color w:val="auto"/>
          <w:highlight w:val="none"/>
          <w:shd w:val="clear" w:color="auto" w:fill="auto"/>
          <w:lang w:val="en-US" w:eastAsia="zh-CN"/>
        </w:rPr>
        <w:t>其他：</w:t>
      </w:r>
      <w:r>
        <w:rPr>
          <w:rFonts w:hint="eastAsia" w:hAnsi="宋体"/>
          <w:color w:val="auto"/>
          <w:highlight w:val="none"/>
          <w:u w:val="single"/>
          <w:shd w:val="clear" w:color="auto" w:fill="auto"/>
        </w:rPr>
        <w:t>交通疏解费、市政道路修复等（暂估）按实际工程量并计取中标下浮率进行结算；市政道路占用费、惯性陀螺仪检测费用、三维模型精细化校验费用、RTK测量等（暂估）按项目实际发生的费用（经发包人确认）结算</w:t>
      </w:r>
      <w:r>
        <w:rPr>
          <w:rFonts w:hint="eastAsia" w:hAnsi="宋体"/>
          <w:color w:val="auto"/>
          <w:highlight w:val="none"/>
          <w:u w:val="single"/>
          <w:shd w:val="clear" w:color="auto" w:fill="auto"/>
          <w:lang w:eastAsia="zh-CN"/>
        </w:rPr>
        <w:t>；租赁试验套管（GIS）（如有），按项目实际发生的费用（经发包人确认）结算</w:t>
      </w:r>
      <w:r>
        <w:rPr>
          <w:rFonts w:hint="eastAsia" w:hAnsi="宋体"/>
          <w:color w:val="auto"/>
          <w:highlight w:val="none"/>
          <w:u w:val="single"/>
          <w:shd w:val="clear" w:color="auto" w:fill="auto"/>
        </w:rPr>
        <w:t>。</w:t>
      </w:r>
    </w:p>
    <w:p w14:paraId="040B5A25">
      <w:pPr>
        <w:pStyle w:val="6"/>
        <w:spacing w:line="360" w:lineRule="auto"/>
        <w:ind w:firstLine="420" w:firstLineChars="200"/>
        <w:rPr>
          <w:rFonts w:hAnsi="宋体"/>
          <w:color w:val="auto"/>
          <w:highlight w:val="none"/>
          <w:shd w:val="clear" w:color="auto" w:fill="auto"/>
        </w:rPr>
      </w:pPr>
      <w:r>
        <w:rPr>
          <w:rFonts w:hint="eastAsia" w:hAnsi="宋体"/>
          <w:color w:val="auto"/>
          <w:highlight w:val="none"/>
          <w:shd w:val="clear" w:color="auto" w:fill="auto"/>
          <w:lang w:val="en-US" w:eastAsia="zh-CN"/>
        </w:rPr>
        <w:t>（8）其他费用</w:t>
      </w:r>
      <w:r>
        <w:rPr>
          <w:rFonts w:hint="eastAsia" w:hAnsi="宋体"/>
          <w:color w:val="auto"/>
          <w:highlight w:val="none"/>
          <w:shd w:val="clear" w:color="auto" w:fill="auto"/>
          <w:lang w:eastAsia="zh-CN"/>
        </w:rPr>
        <w:t>（有</w:t>
      </w:r>
      <w:r>
        <w:rPr>
          <w:rFonts w:hint="eastAsia" w:hAnsi="宋体" w:eastAsia="宋体" w:cs="宋体"/>
          <w:color w:val="auto"/>
          <w:highlight w:val="none"/>
          <w:shd w:val="clear" w:color="auto" w:fill="auto"/>
          <w:lang w:val="en-US" w:eastAsia="zh-CN"/>
        </w:rPr>
        <w:t>□</w:t>
      </w:r>
      <w:r>
        <w:rPr>
          <w:rFonts w:hint="eastAsia" w:hAnsi="宋体"/>
          <w:color w:val="auto"/>
          <w:highlight w:val="none"/>
          <w:shd w:val="clear" w:color="auto" w:fill="auto"/>
          <w:lang w:eastAsia="zh-CN"/>
        </w:rPr>
        <w:t>的项目，</w:t>
      </w:r>
      <w:r>
        <w:rPr>
          <w:rFonts w:hint="eastAsia" w:hAnsi="宋体"/>
          <w:color w:val="auto"/>
          <w:highlight w:val="none"/>
          <w:shd w:val="clear" w:color="auto" w:fill="auto"/>
          <w:lang w:val="en-US" w:eastAsia="zh-CN"/>
        </w:rPr>
        <w:t>按照</w:t>
      </w:r>
      <w:r>
        <w:rPr>
          <w:rFonts w:hint="eastAsia" w:hAnsi="宋体" w:eastAsia="宋体" w:cs="宋体"/>
          <w:color w:val="auto"/>
          <w:highlight w:val="none"/>
          <w:shd w:val="clear" w:color="auto" w:fill="auto"/>
          <w:lang w:val="en-US" w:eastAsia="zh-CN"/>
        </w:rPr>
        <w:t>□</w:t>
      </w:r>
      <w:r>
        <w:rPr>
          <w:rFonts w:hint="eastAsia" w:hAnsi="宋体"/>
          <w:color w:val="auto"/>
          <w:highlight w:val="none"/>
          <w:shd w:val="clear" w:color="auto" w:fill="auto"/>
          <w:lang w:val="en-US" w:eastAsia="zh-CN"/>
        </w:rPr>
        <w:t>内</w:t>
      </w:r>
      <w:r>
        <w:rPr>
          <w:rFonts w:hint="eastAsia" w:hAnsi="宋体"/>
          <w:color w:val="auto"/>
          <w:highlight w:val="none"/>
          <w:shd w:val="clear" w:color="auto" w:fill="auto"/>
          <w:lang w:eastAsia="zh-CN"/>
        </w:rPr>
        <w:t>打√的</w:t>
      </w:r>
      <w:r>
        <w:rPr>
          <w:rFonts w:hint="eastAsia" w:hAnsi="宋体"/>
          <w:color w:val="auto"/>
          <w:highlight w:val="none"/>
          <w:shd w:val="clear" w:color="auto" w:fill="auto"/>
          <w:lang w:val="en-US" w:eastAsia="zh-CN"/>
        </w:rPr>
        <w:t>执行</w:t>
      </w:r>
      <w:r>
        <w:rPr>
          <w:rFonts w:hint="eastAsia" w:hAnsi="宋体"/>
          <w:color w:val="auto"/>
          <w:highlight w:val="none"/>
          <w:shd w:val="clear" w:color="auto" w:fill="auto"/>
          <w:lang w:eastAsia="zh-CN"/>
        </w:rPr>
        <w:t>）</w:t>
      </w:r>
      <w:r>
        <w:rPr>
          <w:rFonts w:hint="eastAsia" w:hAnsi="宋体"/>
          <w:color w:val="auto"/>
          <w:highlight w:val="none"/>
          <w:shd w:val="clear" w:color="auto" w:fill="auto"/>
          <w:lang w:val="en-US" w:eastAsia="zh-CN"/>
        </w:rPr>
        <w:t>：</w:t>
      </w:r>
    </w:p>
    <w:p w14:paraId="158A9D5C">
      <w:pPr>
        <w:pStyle w:val="6"/>
        <w:spacing w:line="360" w:lineRule="auto"/>
        <w:ind w:firstLine="420" w:firstLineChars="200"/>
        <w:rPr>
          <w:rFonts w:hint="eastAsia" w:hAnsi="宋体" w:eastAsia="宋体"/>
          <w:b/>
          <w:bCs/>
          <w:color w:val="auto"/>
          <w:szCs w:val="21"/>
          <w:highlight w:val="none"/>
          <w:shd w:val="clear" w:color="auto" w:fill="auto"/>
          <w:lang w:eastAsia="zh-CN"/>
        </w:rPr>
      </w:pPr>
      <w:r>
        <w:rPr>
          <w:rFonts w:hint="eastAsia" w:hAnsi="宋体" w:eastAsia="宋体" w:cs="宋体"/>
          <w:color w:val="auto"/>
          <w:highlight w:val="none"/>
          <w:shd w:val="clear" w:color="auto" w:fill="auto"/>
          <w:lang w:val="en-US" w:eastAsia="zh-CN"/>
        </w:rPr>
        <w:t>□</w:t>
      </w:r>
      <w:r>
        <w:rPr>
          <w:rFonts w:hint="eastAsia" w:hAnsi="宋体"/>
          <w:bCs/>
          <w:color w:val="auto"/>
          <w:szCs w:val="21"/>
          <w:highlight w:val="none"/>
          <w:shd w:val="clear" w:color="auto" w:fill="auto"/>
        </w:rPr>
        <w:t>工程建设场地征用及清理由</w:t>
      </w:r>
      <w:r>
        <w:rPr>
          <w:rFonts w:hint="eastAsia" w:hAnsi="宋体"/>
          <w:bCs/>
          <w:color w:val="auto"/>
          <w:szCs w:val="21"/>
          <w:highlight w:val="none"/>
          <w:shd w:val="clear" w:color="auto" w:fill="auto"/>
          <w:lang w:val="en-US" w:eastAsia="zh-CN"/>
        </w:rPr>
        <w:t>中标</w:t>
      </w:r>
      <w:r>
        <w:rPr>
          <w:rFonts w:hint="eastAsia" w:hAnsi="宋体"/>
          <w:bCs/>
          <w:color w:val="auto"/>
          <w:szCs w:val="21"/>
          <w:highlight w:val="none"/>
          <w:shd w:val="clear" w:color="auto" w:fill="auto"/>
        </w:rPr>
        <w:t>单位负责，包括塔基</w:t>
      </w:r>
      <w:r>
        <w:rPr>
          <w:rFonts w:hint="eastAsia" w:hAnsi="宋体"/>
          <w:bCs/>
          <w:color w:val="auto"/>
          <w:szCs w:val="21"/>
          <w:highlight w:val="none"/>
          <w:shd w:val="clear" w:color="auto" w:fill="auto"/>
          <w:lang w:val="en-US" w:eastAsia="zh-CN"/>
        </w:rPr>
        <w:t>永久占地补偿</w:t>
      </w:r>
      <w:r>
        <w:rPr>
          <w:rFonts w:hint="eastAsia" w:hAnsi="宋体"/>
          <w:bCs/>
          <w:color w:val="auto"/>
          <w:szCs w:val="21"/>
          <w:highlight w:val="none"/>
          <w:shd w:val="clear" w:color="auto" w:fill="auto"/>
        </w:rPr>
        <w:t>及青赔费用、</w:t>
      </w:r>
      <w:r>
        <w:rPr>
          <w:rFonts w:hint="eastAsia" w:ascii="宋体" w:hAnsi="宋体" w:cs="宋体"/>
          <w:color w:val="auto"/>
          <w:kern w:val="2"/>
          <w:highlight w:val="none"/>
          <w:shd w:val="clear" w:color="auto" w:fill="auto"/>
        </w:rPr>
        <w:t>送电</w:t>
      </w:r>
      <w:r>
        <w:rPr>
          <w:rFonts w:hint="eastAsia" w:hAnsi="宋体"/>
          <w:bCs/>
          <w:color w:val="auto"/>
          <w:szCs w:val="21"/>
          <w:highlight w:val="none"/>
          <w:shd w:val="clear" w:color="auto" w:fill="auto"/>
        </w:rPr>
        <w:t>线路通道林木砍伐赔偿费用和构、建筑物拆迁补偿等</w:t>
      </w:r>
      <w:r>
        <w:rPr>
          <w:rFonts w:hint="eastAsia" w:hAnsi="宋体"/>
          <w:color w:val="auto"/>
          <w:szCs w:val="21"/>
          <w:highlight w:val="none"/>
          <w:shd w:val="clear" w:color="auto" w:fill="auto"/>
        </w:rPr>
        <w:t>均由中标单位负责办理及支付</w:t>
      </w:r>
      <w:r>
        <w:rPr>
          <w:rFonts w:hint="eastAsia" w:hAnsi="宋体"/>
          <w:color w:val="auto"/>
          <w:szCs w:val="21"/>
          <w:highlight w:val="none"/>
          <w:shd w:val="clear" w:color="auto" w:fill="auto"/>
          <w:lang w:eastAsia="zh-CN"/>
        </w:rPr>
        <w:t>，</w:t>
      </w:r>
      <w:r>
        <w:rPr>
          <w:rFonts w:hint="eastAsia" w:hAnsi="宋体"/>
          <w:color w:val="auto"/>
          <w:highlight w:val="none"/>
          <w:shd w:val="clear" w:color="auto" w:fill="auto"/>
        </w:rPr>
        <w:t>费用不计入</w:t>
      </w:r>
      <w:r>
        <w:rPr>
          <w:rFonts w:hint="eastAsia" w:hAnsi="宋体"/>
          <w:color w:val="auto"/>
          <w:highlight w:val="none"/>
          <w:shd w:val="clear" w:color="auto" w:fill="auto"/>
          <w:lang w:val="en-US" w:eastAsia="zh-CN"/>
        </w:rPr>
        <w:t>正式合同价</w:t>
      </w:r>
      <w:r>
        <w:rPr>
          <w:rFonts w:hint="eastAsia" w:hAnsi="宋体"/>
          <w:color w:val="auto"/>
          <w:highlight w:val="none"/>
          <w:shd w:val="clear" w:color="auto" w:fill="auto"/>
          <w:lang w:eastAsia="zh-CN"/>
        </w:rPr>
        <w:t>，</w:t>
      </w:r>
      <w:r>
        <w:rPr>
          <w:rFonts w:hint="eastAsia" w:hAnsi="宋体"/>
          <w:b/>
          <w:bCs/>
          <w:color w:val="auto"/>
          <w:szCs w:val="21"/>
          <w:highlight w:val="none"/>
          <w:shd w:val="clear" w:color="auto" w:fill="auto"/>
        </w:rPr>
        <w:t>按项目实际发生的费用（经发包人确认）结算</w:t>
      </w:r>
      <w:r>
        <w:rPr>
          <w:rFonts w:hint="eastAsia" w:hAnsi="宋体"/>
          <w:b/>
          <w:bCs/>
          <w:color w:val="auto"/>
          <w:szCs w:val="21"/>
          <w:highlight w:val="none"/>
          <w:shd w:val="clear" w:color="auto" w:fill="auto"/>
          <w:lang w:eastAsia="zh-CN"/>
        </w:rPr>
        <w:t>。</w:t>
      </w:r>
    </w:p>
    <w:p w14:paraId="5C152AB6">
      <w:pPr>
        <w:pStyle w:val="6"/>
        <w:spacing w:line="360" w:lineRule="auto"/>
        <w:ind w:firstLine="420" w:firstLineChars="200"/>
        <w:rPr>
          <w:rFonts w:hint="eastAsia" w:hAnsi="宋体"/>
          <w:bCs/>
          <w:color w:val="auto"/>
          <w:szCs w:val="21"/>
          <w:highlight w:val="none"/>
          <w:shd w:val="clear" w:color="auto" w:fill="auto"/>
        </w:rPr>
      </w:pPr>
      <w:r>
        <w:rPr>
          <w:rFonts w:hint="eastAsia" w:hAnsi="宋体" w:eastAsia="宋体" w:cs="宋体"/>
          <w:color w:val="auto"/>
          <w:highlight w:val="none"/>
          <w:shd w:val="clear" w:color="auto" w:fill="auto"/>
          <w:lang w:val="en-US" w:eastAsia="zh-CN"/>
        </w:rPr>
        <w:t>□</w:t>
      </w:r>
      <w:r>
        <w:rPr>
          <w:rFonts w:hint="eastAsia" w:ascii="宋体" w:hAnsi="宋体" w:eastAsia="宋体" w:cs="宋体"/>
          <w:bCs/>
          <w:color w:val="auto"/>
          <w:szCs w:val="21"/>
          <w:highlight w:val="none"/>
          <w:shd w:val="clear" w:color="auto" w:fill="auto"/>
        </w:rPr>
        <w:t>工程</w:t>
      </w:r>
      <w:r>
        <w:rPr>
          <w:rFonts w:hint="eastAsia" w:hAnsi="宋体"/>
          <w:bCs/>
          <w:color w:val="auto"/>
          <w:szCs w:val="21"/>
          <w:highlight w:val="none"/>
          <w:shd w:val="clear" w:color="auto" w:fill="auto"/>
        </w:rPr>
        <w:t>建设场地征用及清理由</w:t>
      </w:r>
      <w:r>
        <w:rPr>
          <w:rFonts w:hint="eastAsia" w:hAnsi="宋体"/>
          <w:bCs/>
          <w:color w:val="auto"/>
          <w:szCs w:val="21"/>
          <w:highlight w:val="none"/>
          <w:shd w:val="clear" w:color="auto" w:fill="auto"/>
          <w:lang w:val="en-US" w:eastAsia="zh-CN"/>
        </w:rPr>
        <w:t>中标</w:t>
      </w:r>
      <w:r>
        <w:rPr>
          <w:rFonts w:hint="eastAsia" w:hAnsi="宋体"/>
          <w:bCs/>
          <w:color w:val="auto"/>
          <w:szCs w:val="21"/>
          <w:highlight w:val="none"/>
          <w:shd w:val="clear" w:color="auto" w:fill="auto"/>
        </w:rPr>
        <w:t>单位负责，包括塔基</w:t>
      </w:r>
      <w:r>
        <w:rPr>
          <w:rFonts w:hint="eastAsia" w:hAnsi="宋体"/>
          <w:bCs/>
          <w:color w:val="auto"/>
          <w:szCs w:val="21"/>
          <w:highlight w:val="none"/>
          <w:shd w:val="clear" w:color="auto" w:fill="auto"/>
          <w:lang w:val="en-US" w:eastAsia="zh-CN"/>
        </w:rPr>
        <w:t>永久占地补偿</w:t>
      </w:r>
      <w:r>
        <w:rPr>
          <w:rFonts w:hint="eastAsia" w:hAnsi="宋体"/>
          <w:bCs/>
          <w:color w:val="auto"/>
          <w:szCs w:val="21"/>
          <w:highlight w:val="none"/>
          <w:shd w:val="clear" w:color="auto" w:fill="auto"/>
        </w:rPr>
        <w:t>及青赔费用、</w:t>
      </w:r>
      <w:r>
        <w:rPr>
          <w:rFonts w:hint="eastAsia" w:ascii="宋体" w:hAnsi="宋体" w:cs="宋体"/>
          <w:color w:val="auto"/>
          <w:kern w:val="2"/>
          <w:highlight w:val="none"/>
          <w:shd w:val="clear" w:color="auto" w:fill="auto"/>
        </w:rPr>
        <w:t>送电</w:t>
      </w:r>
      <w:r>
        <w:rPr>
          <w:rFonts w:hint="eastAsia" w:hAnsi="宋体"/>
          <w:bCs/>
          <w:color w:val="auto"/>
          <w:szCs w:val="21"/>
          <w:highlight w:val="none"/>
          <w:shd w:val="clear" w:color="auto" w:fill="auto"/>
        </w:rPr>
        <w:t>线路通道林木砍伐赔偿费用和构、建筑物拆迁补偿等</w:t>
      </w:r>
      <w:r>
        <w:rPr>
          <w:rFonts w:hint="eastAsia" w:hAnsi="宋体"/>
          <w:color w:val="auto"/>
          <w:szCs w:val="21"/>
          <w:highlight w:val="none"/>
          <w:shd w:val="clear" w:color="auto" w:fill="auto"/>
        </w:rPr>
        <w:t>由</w:t>
      </w:r>
      <w:r>
        <w:rPr>
          <w:rFonts w:hint="eastAsia" w:hAnsi="宋体"/>
          <w:color w:val="auto"/>
          <w:szCs w:val="21"/>
          <w:highlight w:val="none"/>
          <w:shd w:val="clear" w:color="auto" w:fill="auto"/>
          <w:lang w:val="en-US" w:eastAsia="zh-CN"/>
        </w:rPr>
        <w:t>中标单位</w:t>
      </w:r>
      <w:r>
        <w:rPr>
          <w:rFonts w:hint="eastAsia" w:hAnsi="宋体"/>
          <w:color w:val="auto"/>
          <w:szCs w:val="21"/>
          <w:highlight w:val="none"/>
          <w:shd w:val="clear" w:color="auto" w:fill="auto"/>
        </w:rPr>
        <w:t>负责办理及支付</w:t>
      </w:r>
      <w:r>
        <w:rPr>
          <w:rFonts w:hint="eastAsia" w:hAnsi="宋体"/>
          <w:color w:val="auto"/>
          <w:szCs w:val="21"/>
          <w:highlight w:val="none"/>
          <w:shd w:val="clear" w:color="auto" w:fill="auto"/>
          <w:lang w:eastAsia="zh-CN"/>
        </w:rPr>
        <w:t>，</w:t>
      </w:r>
      <w:r>
        <w:rPr>
          <w:rFonts w:hint="eastAsia" w:hAnsi="宋体"/>
          <w:b/>
          <w:bCs/>
          <w:color w:val="auto"/>
          <w:szCs w:val="21"/>
          <w:highlight w:val="none"/>
          <w:shd w:val="clear" w:color="auto" w:fill="auto"/>
          <w:lang w:val="en-US" w:eastAsia="zh-CN"/>
        </w:rPr>
        <w:t>相关费用计入</w:t>
      </w:r>
      <w:r>
        <w:rPr>
          <w:rFonts w:hint="eastAsia" w:hAnsi="宋体"/>
          <w:b/>
          <w:bCs/>
          <w:color w:val="auto"/>
          <w:highlight w:val="none"/>
          <w:shd w:val="clear" w:color="auto" w:fill="auto"/>
          <w:lang w:val="en-US" w:eastAsia="zh-CN"/>
        </w:rPr>
        <w:t>正式合同价</w:t>
      </w:r>
      <w:r>
        <w:rPr>
          <w:rFonts w:hint="eastAsia" w:hAnsi="宋体"/>
          <w:b/>
          <w:bCs/>
          <w:color w:val="auto"/>
          <w:szCs w:val="21"/>
          <w:highlight w:val="none"/>
          <w:shd w:val="clear" w:color="auto" w:fill="auto"/>
        </w:rPr>
        <w:t>。</w:t>
      </w:r>
    </w:p>
    <w:p w14:paraId="219E01DF">
      <w:pPr>
        <w:pStyle w:val="6"/>
        <w:spacing w:line="360" w:lineRule="auto"/>
        <w:ind w:firstLine="420" w:firstLineChars="200"/>
        <w:rPr>
          <w:rFonts w:hint="eastAsia" w:hAnsi="宋体"/>
          <w:bCs/>
          <w:color w:val="auto"/>
          <w:szCs w:val="21"/>
          <w:highlight w:val="none"/>
          <w:shd w:val="clear" w:color="auto" w:fill="auto"/>
        </w:rPr>
      </w:pPr>
      <w:r>
        <w:rPr>
          <w:rFonts w:hint="eastAsia" w:hAnsi="宋体"/>
          <w:color w:val="auto"/>
          <w:highlight w:val="none"/>
          <w:shd w:val="clear" w:color="auto" w:fill="auto"/>
          <w:lang w:eastAsia="zh-CN"/>
        </w:rPr>
        <w:t>□</w:t>
      </w:r>
      <w:r>
        <w:rPr>
          <w:rFonts w:hint="eastAsia" w:hAnsi="宋体"/>
          <w:bCs/>
          <w:color w:val="auto"/>
          <w:szCs w:val="21"/>
          <w:highlight w:val="none"/>
          <w:shd w:val="clear" w:color="auto" w:fill="auto"/>
        </w:rPr>
        <w:t>工程建设场地征用及清理由</w:t>
      </w:r>
      <w:r>
        <w:rPr>
          <w:rFonts w:hint="eastAsia" w:hAnsi="宋体"/>
          <w:bCs/>
          <w:color w:val="auto"/>
          <w:szCs w:val="21"/>
          <w:highlight w:val="none"/>
          <w:shd w:val="clear" w:color="auto" w:fill="auto"/>
          <w:lang w:val="en-US" w:eastAsia="zh-CN"/>
        </w:rPr>
        <w:t>发包人</w:t>
      </w:r>
      <w:r>
        <w:rPr>
          <w:rFonts w:hint="eastAsia" w:hAnsi="宋体"/>
          <w:bCs/>
          <w:color w:val="auto"/>
          <w:szCs w:val="21"/>
          <w:highlight w:val="none"/>
          <w:shd w:val="clear" w:color="auto" w:fill="auto"/>
        </w:rPr>
        <w:t>负责，包括塔基</w:t>
      </w:r>
      <w:r>
        <w:rPr>
          <w:rFonts w:hint="eastAsia" w:hAnsi="宋体"/>
          <w:bCs/>
          <w:color w:val="auto"/>
          <w:szCs w:val="21"/>
          <w:highlight w:val="none"/>
          <w:shd w:val="clear" w:color="auto" w:fill="auto"/>
          <w:lang w:val="en-US" w:eastAsia="zh-CN"/>
        </w:rPr>
        <w:t>永久占地补偿</w:t>
      </w:r>
      <w:r>
        <w:rPr>
          <w:rFonts w:hint="eastAsia" w:hAnsi="宋体"/>
          <w:bCs/>
          <w:color w:val="auto"/>
          <w:szCs w:val="21"/>
          <w:highlight w:val="none"/>
          <w:shd w:val="clear" w:color="auto" w:fill="auto"/>
        </w:rPr>
        <w:t>及青赔费用、</w:t>
      </w:r>
      <w:r>
        <w:rPr>
          <w:rFonts w:hint="eastAsia" w:ascii="宋体" w:hAnsi="宋体" w:cs="宋体"/>
          <w:color w:val="auto"/>
          <w:kern w:val="2"/>
          <w:highlight w:val="none"/>
          <w:shd w:val="clear" w:color="auto" w:fill="auto"/>
        </w:rPr>
        <w:t>送电</w:t>
      </w:r>
      <w:r>
        <w:rPr>
          <w:rFonts w:hint="eastAsia" w:hAnsi="宋体"/>
          <w:bCs/>
          <w:color w:val="auto"/>
          <w:szCs w:val="21"/>
          <w:highlight w:val="none"/>
          <w:shd w:val="clear" w:color="auto" w:fill="auto"/>
        </w:rPr>
        <w:t>线路通道林木砍伐赔偿费用和构、建筑物拆迁补偿等</w:t>
      </w:r>
      <w:r>
        <w:rPr>
          <w:rFonts w:hint="eastAsia" w:hAnsi="宋体"/>
          <w:color w:val="auto"/>
          <w:szCs w:val="21"/>
          <w:highlight w:val="none"/>
          <w:shd w:val="clear" w:color="auto" w:fill="auto"/>
        </w:rPr>
        <w:t>由</w:t>
      </w:r>
      <w:r>
        <w:rPr>
          <w:rFonts w:hint="eastAsia" w:hAnsi="宋体"/>
          <w:color w:val="auto"/>
          <w:szCs w:val="21"/>
          <w:highlight w:val="none"/>
          <w:shd w:val="clear" w:color="auto" w:fill="auto"/>
          <w:lang w:val="en-US" w:eastAsia="zh-CN"/>
        </w:rPr>
        <w:t>发包人</w:t>
      </w:r>
      <w:r>
        <w:rPr>
          <w:rFonts w:hint="eastAsia" w:hAnsi="宋体"/>
          <w:color w:val="auto"/>
          <w:szCs w:val="21"/>
          <w:highlight w:val="none"/>
          <w:shd w:val="clear" w:color="auto" w:fill="auto"/>
        </w:rPr>
        <w:t>负责办理及支付</w:t>
      </w:r>
      <w:r>
        <w:rPr>
          <w:rFonts w:hint="eastAsia" w:hAnsi="宋体"/>
          <w:bCs/>
          <w:color w:val="auto"/>
          <w:szCs w:val="21"/>
          <w:highlight w:val="none"/>
          <w:shd w:val="clear" w:color="auto" w:fill="auto"/>
        </w:rPr>
        <w:t>。</w:t>
      </w:r>
    </w:p>
    <w:p w14:paraId="2DAF0DDB">
      <w:pPr>
        <w:pStyle w:val="6"/>
        <w:ind w:firstLine="420" w:firstLineChars="200"/>
        <w:rPr>
          <w:rFonts w:hint="eastAsia" w:hAnsi="宋体"/>
          <w:bCs/>
          <w:color w:val="auto"/>
          <w:sz w:val="21"/>
          <w:szCs w:val="21"/>
          <w:highlight w:val="none"/>
          <w:u w:val="single"/>
        </w:rPr>
      </w:pPr>
      <w:r>
        <w:rPr>
          <w:rFonts w:hint="eastAsia" w:hAnsi="宋体" w:eastAsia="宋体" w:cs="宋体"/>
          <w:color w:val="auto"/>
          <w:highlight w:val="none"/>
          <w:shd w:val="clear" w:color="auto" w:fill="auto"/>
          <w:lang w:val="en-US" w:eastAsia="zh-CN"/>
        </w:rPr>
        <w:t>□</w:t>
      </w:r>
      <w:r>
        <w:rPr>
          <w:rFonts w:hint="eastAsia" w:hAnsi="宋体"/>
          <w:color w:val="auto"/>
          <w:highlight w:val="none"/>
          <w:shd w:val="clear" w:color="auto" w:fill="auto"/>
          <w:lang w:val="en-US" w:eastAsia="zh-CN"/>
        </w:rPr>
        <w:t>其他：</w:t>
      </w:r>
      <w:r>
        <w:rPr>
          <w:rFonts w:hint="eastAsia" w:hAnsi="宋体"/>
          <w:color w:val="auto"/>
          <w:highlight w:val="none"/>
          <w:u w:val="single"/>
          <w:shd w:val="clear" w:color="auto" w:fill="auto"/>
          <w:lang w:val="en-US" w:eastAsia="zh-CN"/>
        </w:rPr>
        <w:t xml:space="preserve">                                                                   </w:t>
      </w:r>
    </w:p>
    <w:p w14:paraId="0880AD6F">
      <w:pPr>
        <w:pStyle w:val="6"/>
        <w:spacing w:line="360" w:lineRule="auto"/>
        <w:ind w:firstLine="420" w:firstLineChars="200"/>
        <w:rPr>
          <w:rFonts w:hint="eastAsia" w:hAnsi="宋体"/>
          <w:color w:val="auto"/>
          <w:highlight w:val="none"/>
        </w:rPr>
      </w:pPr>
      <w:r>
        <w:rPr>
          <w:rFonts w:hint="eastAsia" w:hAnsi="宋体"/>
          <w:color w:val="auto"/>
          <w:highlight w:val="none"/>
          <w:lang w:eastAsia="zh-CN"/>
        </w:rPr>
        <w:t>（</w:t>
      </w:r>
      <w:r>
        <w:rPr>
          <w:rFonts w:hint="eastAsia" w:hAnsi="宋体"/>
          <w:color w:val="auto"/>
          <w:highlight w:val="none"/>
          <w:lang w:val="en-US" w:eastAsia="zh-CN"/>
        </w:rPr>
        <w:t>9</w:t>
      </w:r>
      <w:r>
        <w:rPr>
          <w:rFonts w:hint="eastAsia" w:hAnsi="宋体"/>
          <w:color w:val="auto"/>
          <w:highlight w:val="none"/>
          <w:lang w:eastAsia="zh-CN"/>
        </w:rPr>
        <w:t>）</w:t>
      </w:r>
      <w:r>
        <w:rPr>
          <w:rFonts w:hint="eastAsia" w:hAnsi="宋体"/>
          <w:color w:val="auto"/>
          <w:highlight w:val="none"/>
        </w:rPr>
        <w:t>架空线路工程的临时施工用地由发包人根据施工场地标准工作面提供；超出施工场地标准工作面（含牵张场地）的租用及其青苗赔偿费用由中标单位承担。现场安全文明施工措施不足导致的前期青赔费用的增加或引发的其他经济纠纷均由中标单位承担。具体标准规范详见《广州供电局输变电项目前期补偿工作业务说明书（暂行）》。</w:t>
      </w:r>
    </w:p>
    <w:p w14:paraId="01298E3F">
      <w:pPr>
        <w:pStyle w:val="6"/>
        <w:spacing w:line="360" w:lineRule="auto"/>
        <w:ind w:firstLine="420" w:firstLineChars="200"/>
        <w:rPr>
          <w:rFonts w:hAnsi="宋体"/>
          <w:color w:val="auto"/>
          <w:highlight w:val="none"/>
        </w:rPr>
      </w:pPr>
      <w:r>
        <w:rPr>
          <w:rFonts w:hint="eastAsia" w:hAnsi="宋体"/>
          <w:color w:val="auto"/>
          <w:highlight w:val="none"/>
          <w:lang w:eastAsia="zh-CN"/>
        </w:rPr>
        <w:t>（</w:t>
      </w:r>
      <w:r>
        <w:rPr>
          <w:rFonts w:hint="eastAsia" w:hAnsi="宋体"/>
          <w:color w:val="auto"/>
          <w:highlight w:val="none"/>
          <w:lang w:val="en-US" w:eastAsia="zh-CN"/>
        </w:rPr>
        <w:t>10</w:t>
      </w:r>
      <w:r>
        <w:rPr>
          <w:rFonts w:hint="eastAsia" w:hAnsi="宋体"/>
          <w:color w:val="auto"/>
          <w:highlight w:val="none"/>
          <w:lang w:eastAsia="zh-CN"/>
        </w:rPr>
        <w:t>）</w:t>
      </w:r>
      <w:r>
        <w:rPr>
          <w:rFonts w:hint="eastAsia" w:hAnsi="宋体"/>
          <w:color w:val="auto"/>
          <w:highlight w:val="none"/>
        </w:rPr>
        <w:t>与当地城规、市政、园林、交警、城监、公路等部门联系办理施工许可手续，均由中标单位负责办理，上述工作如需发生费用（如行政许可、市政收费等有收费文件规定的费用），由建设单位负责。</w:t>
      </w:r>
    </w:p>
    <w:p w14:paraId="54AF03D5">
      <w:pPr>
        <w:pStyle w:val="6"/>
        <w:spacing w:line="360" w:lineRule="auto"/>
        <w:ind w:firstLine="420" w:firstLineChars="200"/>
        <w:rPr>
          <w:rFonts w:hAnsi="宋体"/>
          <w:color w:val="auto"/>
          <w:highlight w:val="none"/>
        </w:rPr>
      </w:pPr>
      <w:r>
        <w:rPr>
          <w:rFonts w:hint="eastAsia" w:hAnsi="宋体"/>
          <w:color w:val="auto"/>
          <w:highlight w:val="none"/>
          <w:lang w:eastAsia="zh-CN"/>
        </w:rPr>
        <w:t>（</w:t>
      </w:r>
      <w:r>
        <w:rPr>
          <w:rFonts w:hint="eastAsia" w:hAnsi="宋体"/>
          <w:color w:val="auto"/>
          <w:highlight w:val="none"/>
          <w:lang w:val="en-US" w:eastAsia="zh-CN"/>
        </w:rPr>
        <w:t>11</w:t>
      </w:r>
      <w:r>
        <w:rPr>
          <w:rFonts w:hint="eastAsia" w:hAnsi="宋体"/>
          <w:color w:val="auto"/>
          <w:highlight w:val="none"/>
          <w:lang w:eastAsia="zh-CN"/>
        </w:rPr>
        <w:t>）</w:t>
      </w:r>
      <w:r>
        <w:rPr>
          <w:rFonts w:hint="eastAsia" w:hAnsi="宋体"/>
          <w:color w:val="auto"/>
          <w:highlight w:val="none"/>
        </w:rPr>
        <w:t>工程建设过程中，中标单位对外的交涉与纠纷，以及所造成的损失，除招标书中有明确规定者外，均由中标单位自行解决。如确需建设单位进行协调时，协调解决问题所发生的一切费用仍由中标单位承担。</w:t>
      </w:r>
    </w:p>
    <w:p w14:paraId="12970C14">
      <w:pPr>
        <w:pStyle w:val="6"/>
        <w:spacing w:line="360" w:lineRule="auto"/>
        <w:ind w:firstLine="420" w:firstLineChars="200"/>
        <w:rPr>
          <w:rFonts w:hAnsi="宋体"/>
          <w:color w:val="auto"/>
          <w:highlight w:val="none"/>
        </w:rPr>
      </w:pPr>
      <w:r>
        <w:rPr>
          <w:rFonts w:hint="eastAsia" w:hAnsi="宋体"/>
          <w:color w:val="auto"/>
          <w:highlight w:val="none"/>
          <w:lang w:eastAsia="zh-CN"/>
        </w:rPr>
        <w:t>（</w:t>
      </w:r>
      <w:r>
        <w:rPr>
          <w:rFonts w:hint="eastAsia" w:hAnsi="宋体"/>
          <w:color w:val="auto"/>
          <w:highlight w:val="none"/>
          <w:lang w:val="en-US" w:eastAsia="zh-CN"/>
        </w:rPr>
        <w:t>12</w:t>
      </w:r>
      <w:r>
        <w:rPr>
          <w:rFonts w:hint="eastAsia" w:hAnsi="宋体"/>
          <w:color w:val="auto"/>
          <w:highlight w:val="none"/>
          <w:lang w:eastAsia="zh-CN"/>
        </w:rPr>
        <w:t>）</w:t>
      </w:r>
      <w:r>
        <w:rPr>
          <w:rFonts w:hint="eastAsia" w:hAnsi="宋体"/>
          <w:color w:val="auto"/>
          <w:highlight w:val="none"/>
          <w:lang w:val="en-US" w:eastAsia="zh-CN"/>
        </w:rPr>
        <w:t>按合同专用条款14.1确定的正式合同价，</w:t>
      </w:r>
      <w:r>
        <w:rPr>
          <w:rFonts w:hint="eastAsia" w:hAnsi="宋体"/>
          <w:color w:val="auto"/>
          <w:highlight w:val="none"/>
        </w:rPr>
        <w:t>包括但不限于以下项目</w:t>
      </w:r>
      <w:r>
        <w:rPr>
          <w:rFonts w:hint="eastAsia" w:hAnsi="宋体"/>
          <w:color w:val="auto"/>
          <w:highlight w:val="none"/>
          <w:lang w:eastAsia="zh-CN"/>
        </w:rPr>
        <w:t>，投标人的</w:t>
      </w:r>
      <w:r>
        <w:rPr>
          <w:rFonts w:hint="eastAsia" w:hAnsi="宋体"/>
          <w:color w:val="auto"/>
          <w:highlight w:val="none"/>
        </w:rPr>
        <w:t>报价文件中</w:t>
      </w:r>
      <w:r>
        <w:rPr>
          <w:rFonts w:hint="eastAsia" w:hAnsi="宋体"/>
          <w:color w:val="auto"/>
          <w:highlight w:val="none"/>
          <w:lang w:eastAsia="zh-CN"/>
        </w:rPr>
        <w:t>应予以充分考虑</w:t>
      </w:r>
      <w:r>
        <w:rPr>
          <w:rFonts w:hint="eastAsia" w:hAnsi="宋体"/>
          <w:color w:val="auto"/>
          <w:highlight w:val="none"/>
        </w:rPr>
        <w:t>：</w:t>
      </w:r>
    </w:p>
    <w:p w14:paraId="23C644BB">
      <w:pPr>
        <w:pStyle w:val="6"/>
        <w:spacing w:line="360" w:lineRule="auto"/>
        <w:ind w:firstLine="420" w:firstLineChars="200"/>
        <w:rPr>
          <w:rFonts w:hAnsi="宋体"/>
          <w:color w:val="auto"/>
          <w:highlight w:val="none"/>
        </w:rPr>
      </w:pPr>
      <w:r>
        <w:rPr>
          <w:rFonts w:hint="eastAsia" w:hAnsi="宋体"/>
          <w:color w:val="auto"/>
          <w:highlight w:val="none"/>
        </w:rPr>
        <w:t>①投标人自行调查设备、材料、机具等市场情况，并自行承担相应的市场风险责任；</w:t>
      </w:r>
    </w:p>
    <w:p w14:paraId="3723A861">
      <w:pPr>
        <w:pStyle w:val="6"/>
        <w:spacing w:line="360" w:lineRule="auto"/>
        <w:ind w:firstLine="420" w:firstLineChars="200"/>
        <w:rPr>
          <w:rFonts w:hAnsi="宋体"/>
          <w:color w:val="auto"/>
          <w:highlight w:val="none"/>
        </w:rPr>
      </w:pPr>
      <w:r>
        <w:rPr>
          <w:rFonts w:hint="eastAsia" w:hAnsi="宋体"/>
          <w:color w:val="auto"/>
          <w:highlight w:val="none"/>
        </w:rPr>
        <w:t>②按南网项目管理和质量实体样板要求所需相应的措施费；</w:t>
      </w:r>
    </w:p>
    <w:p w14:paraId="2483A02B">
      <w:pPr>
        <w:pStyle w:val="6"/>
        <w:spacing w:line="360" w:lineRule="auto"/>
        <w:ind w:firstLine="420" w:firstLineChars="200"/>
        <w:rPr>
          <w:rFonts w:hAnsi="宋体"/>
          <w:color w:val="auto"/>
          <w:highlight w:val="none"/>
        </w:rPr>
      </w:pPr>
      <w:r>
        <w:rPr>
          <w:rFonts w:hint="eastAsia" w:hAnsi="宋体"/>
          <w:color w:val="auto"/>
          <w:highlight w:val="none"/>
        </w:rPr>
        <w:t>③全面开展标准建设工作；</w:t>
      </w:r>
    </w:p>
    <w:p w14:paraId="34997704">
      <w:pPr>
        <w:pStyle w:val="6"/>
        <w:spacing w:line="360" w:lineRule="auto"/>
        <w:ind w:firstLine="420" w:firstLineChars="200"/>
        <w:rPr>
          <w:rFonts w:hAnsi="宋体"/>
          <w:color w:val="auto"/>
          <w:highlight w:val="none"/>
        </w:rPr>
      </w:pPr>
      <w:r>
        <w:rPr>
          <w:rFonts w:hint="eastAsia" w:hAnsi="宋体"/>
          <w:color w:val="auto"/>
          <w:highlight w:val="none"/>
        </w:rPr>
        <w:t>④道路通行及维护、场地移交、场地物资堆放及二次倒运等工作；</w:t>
      </w:r>
    </w:p>
    <w:p w14:paraId="4DC5F3D2">
      <w:pPr>
        <w:pStyle w:val="6"/>
        <w:spacing w:line="360" w:lineRule="auto"/>
        <w:ind w:firstLine="420" w:firstLineChars="200"/>
        <w:rPr>
          <w:rFonts w:hAnsi="宋体"/>
          <w:color w:val="auto"/>
          <w:highlight w:val="none"/>
        </w:rPr>
      </w:pPr>
      <w:r>
        <w:rPr>
          <w:rFonts w:hint="eastAsia" w:hAnsi="宋体"/>
          <w:color w:val="auto"/>
          <w:highlight w:val="none"/>
        </w:rPr>
        <w:t>⑤施工期间国家政策调整（含行业计价标准调整）和物价指数变化的影响；</w:t>
      </w:r>
    </w:p>
    <w:p w14:paraId="3CB5468F">
      <w:pPr>
        <w:pStyle w:val="6"/>
        <w:spacing w:line="360" w:lineRule="auto"/>
        <w:ind w:firstLine="420" w:firstLineChars="200"/>
        <w:rPr>
          <w:rFonts w:hAnsi="宋体"/>
          <w:color w:val="auto"/>
          <w:highlight w:val="none"/>
        </w:rPr>
      </w:pPr>
      <w:r>
        <w:rPr>
          <w:rFonts w:hint="eastAsia" w:hAnsi="宋体"/>
          <w:color w:val="auto"/>
          <w:highlight w:val="none"/>
        </w:rPr>
        <w:t>⑥施工期间做好水土保持工作，负责施工废弃物、噪音及扬尘污染、道路通行及损毁修补、强夯、爆破等对周边居民生产生活及建构筑物的影响处理，负责协调和处理此类施工问题造成的纠纷、阻工等；</w:t>
      </w:r>
    </w:p>
    <w:p w14:paraId="435B5850">
      <w:pPr>
        <w:pStyle w:val="6"/>
        <w:spacing w:line="360" w:lineRule="auto"/>
        <w:ind w:firstLine="420" w:firstLineChars="200"/>
        <w:rPr>
          <w:rFonts w:hAnsi="宋体"/>
          <w:color w:val="auto"/>
          <w:highlight w:val="none"/>
        </w:rPr>
      </w:pPr>
      <w:r>
        <w:rPr>
          <w:rFonts w:hint="eastAsia" w:hAnsi="宋体"/>
          <w:color w:val="auto"/>
          <w:highlight w:val="none"/>
        </w:rPr>
        <w:t>⑦施工现场照明，采用节能照明灯具的比率大于80％；</w:t>
      </w:r>
    </w:p>
    <w:p w14:paraId="595B7221">
      <w:pPr>
        <w:pStyle w:val="6"/>
        <w:spacing w:line="360" w:lineRule="auto"/>
        <w:ind w:firstLine="420" w:firstLineChars="200"/>
        <w:rPr>
          <w:rFonts w:hAnsi="宋体"/>
          <w:color w:val="auto"/>
          <w:highlight w:val="none"/>
        </w:rPr>
      </w:pPr>
      <w:r>
        <w:rPr>
          <w:rFonts w:hint="eastAsia" w:hAnsi="宋体"/>
          <w:color w:val="auto"/>
          <w:highlight w:val="none"/>
        </w:rPr>
        <w:t>⑧地方政府向承包人收取的相关费用；</w:t>
      </w:r>
    </w:p>
    <w:p w14:paraId="4FD95665">
      <w:pPr>
        <w:pStyle w:val="6"/>
        <w:spacing w:line="360" w:lineRule="auto"/>
        <w:ind w:firstLine="420" w:firstLineChars="200"/>
        <w:rPr>
          <w:rFonts w:hAnsi="宋体"/>
          <w:color w:val="auto"/>
          <w:highlight w:val="none"/>
        </w:rPr>
      </w:pPr>
      <w:r>
        <w:rPr>
          <w:rFonts w:hint="eastAsia" w:hAnsi="宋体"/>
          <w:color w:val="auto"/>
          <w:highlight w:val="none"/>
        </w:rPr>
        <w:t>⑨现场办公临建建设，承包人支付有关的用水、用电、通信、排污等费用，并负责维护工作，并在建设单位要求时负责拆除、及恢复场地；</w:t>
      </w:r>
    </w:p>
    <w:p w14:paraId="578109E4">
      <w:pPr>
        <w:pStyle w:val="6"/>
        <w:spacing w:line="360" w:lineRule="auto"/>
        <w:ind w:firstLine="420" w:firstLineChars="200"/>
        <w:rPr>
          <w:rFonts w:hAnsi="宋体"/>
          <w:color w:val="auto"/>
          <w:highlight w:val="none"/>
        </w:rPr>
      </w:pPr>
      <w:r>
        <w:rPr>
          <w:rFonts w:hint="eastAsia" w:hAnsi="宋体"/>
          <w:color w:val="auto"/>
          <w:highlight w:val="none"/>
        </w:rPr>
        <w:t>⑩负责投产或移交前工程实体等相关维护工作；</w:t>
      </w:r>
    </w:p>
    <w:p w14:paraId="61DD70C5">
      <w:pPr>
        <w:pStyle w:val="6"/>
        <w:spacing w:line="360" w:lineRule="auto"/>
        <w:ind w:firstLine="420" w:firstLineChars="200"/>
        <w:rPr>
          <w:rFonts w:hAnsi="宋体"/>
          <w:color w:val="auto"/>
          <w:highlight w:val="none"/>
        </w:rPr>
      </w:pPr>
      <w:r>
        <w:rPr>
          <w:rFonts w:hint="eastAsia" w:hAnsi="宋体"/>
          <w:color w:val="auto"/>
          <w:highlight w:val="none"/>
        </w:rPr>
        <w:t xml:space="preserve">⑪配合建设单位各类检查、检测、监测、验收、评审、协调、评优、安风体系建设等工作； </w:t>
      </w:r>
    </w:p>
    <w:p w14:paraId="10A46710">
      <w:pPr>
        <w:pStyle w:val="6"/>
        <w:spacing w:line="360" w:lineRule="auto"/>
        <w:ind w:firstLine="420" w:firstLineChars="200"/>
        <w:rPr>
          <w:rFonts w:hAnsi="宋体"/>
          <w:color w:val="auto"/>
          <w:highlight w:val="none"/>
        </w:rPr>
      </w:pPr>
      <w:r>
        <w:rPr>
          <w:rFonts w:hint="eastAsia" w:hAnsi="宋体"/>
          <w:color w:val="auto"/>
          <w:highlight w:val="none"/>
        </w:rPr>
        <w:t>⑫竣工验收前办理并提供相关行政主管部门出具的无欠薪证明、无重大安全事故证明等材料；</w:t>
      </w:r>
    </w:p>
    <w:p w14:paraId="787D8DAE">
      <w:pPr>
        <w:pStyle w:val="6"/>
        <w:spacing w:line="360" w:lineRule="auto"/>
        <w:ind w:firstLine="420" w:firstLineChars="200"/>
        <w:rPr>
          <w:rFonts w:hAnsi="宋体"/>
          <w:color w:val="auto"/>
          <w:highlight w:val="none"/>
        </w:rPr>
      </w:pPr>
      <w:r>
        <w:rPr>
          <w:rFonts w:hint="eastAsia" w:hAnsi="宋体"/>
          <w:color w:val="auto"/>
          <w:highlight w:val="none"/>
        </w:rPr>
        <w:t>⑬自行考虑冬、雨季施工措施费用和影响；</w:t>
      </w:r>
    </w:p>
    <w:p w14:paraId="2C024328">
      <w:pPr>
        <w:pStyle w:val="6"/>
        <w:spacing w:line="360" w:lineRule="auto"/>
        <w:ind w:firstLine="420" w:firstLineChars="200"/>
        <w:rPr>
          <w:rFonts w:hAnsi="宋体"/>
          <w:color w:val="auto"/>
          <w:highlight w:val="none"/>
        </w:rPr>
      </w:pPr>
      <w:r>
        <w:rPr>
          <w:rFonts w:hint="eastAsia" w:hAnsi="宋体"/>
          <w:color w:val="auto"/>
          <w:highlight w:val="none"/>
        </w:rPr>
        <w:t>⑭及时应用和填报南网基建一体化信息系统；</w:t>
      </w:r>
    </w:p>
    <w:p w14:paraId="4919AD95">
      <w:pPr>
        <w:ind w:firstLine="420" w:firstLineChars="200"/>
        <w:rPr>
          <w:rFonts w:hint="eastAsia" w:ascii="宋体" w:hAnsi="宋体"/>
          <w:b/>
          <w:iCs/>
          <w:color w:val="auto"/>
          <w:kern w:val="0"/>
          <w:sz w:val="28"/>
          <w:szCs w:val="28"/>
          <w:highlight w:val="none"/>
          <w:shd w:val="clear" w:color="auto" w:fill="auto"/>
        </w:rPr>
      </w:pPr>
      <w:r>
        <w:rPr>
          <w:rFonts w:hint="eastAsia" w:hAnsi="宋体"/>
          <w:color w:val="auto"/>
          <w:highlight w:val="none"/>
        </w:rPr>
        <w:t>⑮其他在图纸中未列项或描述，但根据招标文件和合同要求应由投标人负责的工作</w:t>
      </w:r>
      <w:r>
        <w:rPr>
          <w:rFonts w:hint="eastAsia" w:hAnsi="宋体"/>
          <w:color w:val="auto"/>
          <w:highlight w:val="none"/>
          <w:lang w:eastAsia="zh-CN"/>
        </w:rPr>
        <w:t>。</w:t>
      </w:r>
      <w:r>
        <w:rPr>
          <w:rFonts w:hint="eastAsia" w:ascii="宋体" w:hAnsi="宋体"/>
          <w:b/>
          <w:iCs/>
          <w:color w:val="auto"/>
          <w:kern w:val="0"/>
          <w:sz w:val="28"/>
          <w:szCs w:val="28"/>
          <w:highlight w:val="none"/>
          <w:shd w:val="clear" w:color="auto" w:fill="auto"/>
        </w:rPr>
        <w:br w:type="page"/>
      </w:r>
    </w:p>
    <w:p w14:paraId="4D1FE87C">
      <w:pPr>
        <w:spacing w:line="360" w:lineRule="auto"/>
        <w:outlineLvl w:val="1"/>
        <w:rPr>
          <w:rFonts w:ascii="宋体" w:hAnsi="宋体" w:eastAsia="宋体"/>
          <w:iCs/>
          <w:color w:val="auto"/>
          <w:szCs w:val="28"/>
          <w:highlight w:val="none"/>
          <w:shd w:val="clear" w:color="auto" w:fill="auto"/>
        </w:rPr>
      </w:pPr>
      <w:r>
        <w:rPr>
          <w:rFonts w:hint="eastAsia" w:ascii="宋体" w:hAnsi="宋体"/>
          <w:b/>
          <w:iCs/>
          <w:color w:val="auto"/>
          <w:kern w:val="0"/>
          <w:sz w:val="28"/>
          <w:szCs w:val="28"/>
          <w:highlight w:val="none"/>
          <w:shd w:val="clear" w:color="auto" w:fill="auto"/>
        </w:rPr>
        <w:t>二、合同文本</w:t>
      </w:r>
      <w:r>
        <w:rPr>
          <w:rFonts w:hint="eastAsia" w:ascii="宋体" w:hAnsi="宋体"/>
          <w:b/>
          <w:iCs/>
          <w:color w:val="auto"/>
          <w:kern w:val="0"/>
          <w:sz w:val="28"/>
          <w:szCs w:val="28"/>
          <w:highlight w:val="none"/>
          <w:shd w:val="clear" w:color="auto" w:fill="auto"/>
          <w:lang w:val="en-US" w:eastAsia="zh-CN"/>
        </w:rPr>
        <w:t>条款</w:t>
      </w:r>
      <w:r>
        <w:rPr>
          <w:rFonts w:hint="eastAsia" w:ascii="宋体" w:hAnsi="宋体"/>
          <w:b/>
          <w:iCs/>
          <w:color w:val="auto"/>
          <w:kern w:val="0"/>
          <w:sz w:val="28"/>
          <w:szCs w:val="28"/>
          <w:highlight w:val="none"/>
          <w:shd w:val="clear" w:color="auto" w:fill="auto"/>
        </w:rPr>
        <w:t>差异说明</w:t>
      </w:r>
    </w:p>
    <w:p w14:paraId="4A6FE228">
      <w:pPr>
        <w:pStyle w:val="11"/>
        <w:spacing w:after="0"/>
        <w:ind w:left="0" w:leftChars="0" w:firstLine="482" w:firstLineChars="200"/>
        <w:jc w:val="center"/>
        <w:rPr>
          <w:rFonts w:hint="eastAsia" w:ascii="宋体"/>
          <w:color w:val="auto"/>
          <w:sz w:val="24"/>
          <w:szCs w:val="24"/>
          <w:highlight w:val="none"/>
        </w:rPr>
      </w:pPr>
      <w:r>
        <w:rPr>
          <w:rFonts w:hint="eastAsia" w:ascii="宋体"/>
          <w:color w:val="auto"/>
          <w:sz w:val="24"/>
          <w:szCs w:val="24"/>
          <w:highlight w:val="none"/>
        </w:rPr>
        <w:t>第一节 合同协议书</w:t>
      </w:r>
    </w:p>
    <w:p w14:paraId="0DC89E27">
      <w:pPr>
        <w:pStyle w:val="11"/>
        <w:spacing w:after="0"/>
        <w:ind w:left="0" w:leftChars="0" w:firstLine="422" w:firstLineChars="200"/>
        <w:rPr>
          <w:rFonts w:ascii="宋体"/>
          <w:color w:val="auto"/>
          <w:highlight w:val="none"/>
        </w:rPr>
      </w:pPr>
      <w:r>
        <w:rPr>
          <w:rFonts w:hint="eastAsia" w:ascii="宋体"/>
          <w:color w:val="auto"/>
          <w:highlight w:val="none"/>
        </w:rPr>
        <w:t>替换以下内容</w:t>
      </w:r>
      <w:r>
        <w:rPr>
          <w:rFonts w:hint="eastAsia" w:ascii="宋体"/>
          <w:color w:val="auto"/>
          <w:highlight w:val="none"/>
          <w:lang w:eastAsia="zh-CN"/>
        </w:rPr>
        <w:t>到</w:t>
      </w:r>
      <w:r>
        <w:rPr>
          <w:rFonts w:hint="eastAsia" w:ascii="宋体"/>
          <w:color w:val="auto"/>
          <w:highlight w:val="none"/>
        </w:rPr>
        <w:t>第</w:t>
      </w:r>
      <w:r>
        <w:rPr>
          <w:rFonts w:hint="eastAsia" w:ascii="宋体"/>
          <w:color w:val="auto"/>
          <w:highlight w:val="none"/>
          <w:lang w:val="en-US" w:eastAsia="zh-CN"/>
        </w:rPr>
        <w:t>6</w:t>
      </w:r>
      <w:r>
        <w:rPr>
          <w:rFonts w:hint="eastAsia" w:ascii="宋体"/>
          <w:color w:val="auto"/>
          <w:highlight w:val="none"/>
        </w:rPr>
        <w:t>款：</w:t>
      </w:r>
    </w:p>
    <w:p w14:paraId="69175E10">
      <w:pPr>
        <w:pStyle w:val="11"/>
        <w:spacing w:after="0"/>
        <w:ind w:left="0" w:leftChars="0" w:firstLine="422" w:firstLineChars="200"/>
        <w:rPr>
          <w:rFonts w:ascii="宋体"/>
          <w:color w:val="auto"/>
          <w:highlight w:val="none"/>
        </w:rPr>
      </w:pPr>
      <w:r>
        <w:rPr>
          <w:rFonts w:ascii="宋体"/>
          <w:color w:val="auto"/>
          <w:highlight w:val="none"/>
        </w:rPr>
        <w:t>6</w:t>
      </w:r>
      <w:r>
        <w:rPr>
          <w:rFonts w:hint="eastAsia" w:ascii="宋体"/>
          <w:color w:val="auto"/>
          <w:highlight w:val="none"/>
        </w:rPr>
        <w:t xml:space="preserve"> 合同价格及支付条件</w:t>
      </w:r>
    </w:p>
    <w:p w14:paraId="348AA894">
      <w:pPr>
        <w:keepNext w:val="0"/>
        <w:keepLines w:val="0"/>
        <w:pageBreakBefore w:val="0"/>
        <w:tabs>
          <w:tab w:val="left" w:pos="0"/>
        </w:tabs>
        <w:kinsoku/>
        <w:wordWrap/>
        <w:overflowPunct/>
        <w:topLinePunct w:val="0"/>
        <w:bidi w:val="0"/>
        <w:spacing w:after="120" w:line="360" w:lineRule="auto"/>
        <w:ind w:firstLine="420" w:firstLineChars="200"/>
        <w:outlineLvl w:val="9"/>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6.1 暂定合同总价为人民币（大写）【                     】（¥ 【           】)。中标</w:t>
      </w:r>
      <w:r>
        <w:rPr>
          <w:rFonts w:hint="eastAsia" w:ascii="宋体" w:hAnsi="宋体" w:cs="宋体"/>
          <w:color w:val="auto"/>
          <w:szCs w:val="21"/>
          <w:highlight w:val="none"/>
          <w:shd w:val="clear" w:color="auto" w:fill="auto"/>
          <w:lang w:val="en-US" w:eastAsia="zh-CN"/>
        </w:rPr>
        <w:t>下浮</w:t>
      </w:r>
      <w:r>
        <w:rPr>
          <w:rFonts w:hint="eastAsia" w:ascii="宋体" w:hAnsi="宋体" w:cs="宋体"/>
          <w:color w:val="auto"/>
          <w:szCs w:val="21"/>
          <w:highlight w:val="none"/>
          <w:shd w:val="clear" w:color="auto" w:fill="auto"/>
        </w:rPr>
        <w:t>率为【           】。</w:t>
      </w:r>
    </w:p>
    <w:p w14:paraId="3F8AE4AF">
      <w:pPr>
        <w:pStyle w:val="11"/>
        <w:spacing w:after="0"/>
        <w:ind w:left="0" w:leftChars="0" w:firstLine="482" w:firstLineChars="200"/>
        <w:jc w:val="center"/>
        <w:rPr>
          <w:rFonts w:hint="eastAsia" w:ascii="宋体"/>
          <w:color w:val="auto"/>
          <w:sz w:val="24"/>
          <w:szCs w:val="24"/>
          <w:highlight w:val="none"/>
        </w:rPr>
      </w:pPr>
      <w:r>
        <w:rPr>
          <w:rFonts w:hint="eastAsia" w:ascii="宋体"/>
          <w:color w:val="auto"/>
          <w:sz w:val="24"/>
          <w:szCs w:val="24"/>
          <w:highlight w:val="none"/>
        </w:rPr>
        <w:t>第三节 专用合同条款</w:t>
      </w:r>
    </w:p>
    <w:p w14:paraId="73102193">
      <w:pPr>
        <w:pStyle w:val="11"/>
        <w:spacing w:after="0"/>
        <w:ind w:left="0" w:leftChars="0" w:firstLine="422" w:firstLineChars="200"/>
        <w:jc w:val="both"/>
        <w:rPr>
          <w:rFonts w:hint="eastAsia" w:ascii="宋体" w:eastAsia="宋体"/>
          <w:color w:val="auto"/>
          <w:szCs w:val="24"/>
          <w:highlight w:val="none"/>
          <w:shd w:val="clear" w:color="auto" w:fill="auto"/>
          <w:lang w:val="en-US" w:eastAsia="zh-CN"/>
        </w:rPr>
      </w:pPr>
      <w:r>
        <w:rPr>
          <w:rFonts w:hint="eastAsia" w:ascii="宋体" w:eastAsia="宋体"/>
          <w:color w:val="auto"/>
          <w:szCs w:val="24"/>
          <w:highlight w:val="none"/>
          <w:shd w:val="clear" w:color="auto" w:fill="auto"/>
          <w:lang w:val="en-US" w:eastAsia="zh-CN"/>
        </w:rPr>
        <w:t>1. 一般约定</w:t>
      </w:r>
    </w:p>
    <w:p w14:paraId="7C3E8810">
      <w:pPr>
        <w:pStyle w:val="11"/>
        <w:spacing w:after="0"/>
        <w:ind w:left="0" w:leftChars="0" w:firstLine="422" w:firstLineChars="200"/>
        <w:jc w:val="both"/>
        <w:rPr>
          <w:rFonts w:hint="eastAsia" w:ascii="宋体" w:eastAsia="宋体"/>
          <w:color w:val="auto"/>
          <w:szCs w:val="24"/>
          <w:highlight w:val="none"/>
          <w:shd w:val="clear" w:color="auto" w:fill="auto"/>
          <w:lang w:val="en-US" w:eastAsia="zh-CN"/>
        </w:rPr>
      </w:pPr>
      <w:r>
        <w:rPr>
          <w:rFonts w:hint="eastAsia" w:ascii="宋体" w:eastAsia="宋体"/>
          <w:color w:val="auto"/>
          <w:szCs w:val="24"/>
          <w:highlight w:val="none"/>
          <w:shd w:val="clear" w:color="auto" w:fill="auto"/>
          <w:lang w:val="en-US" w:eastAsia="zh-CN"/>
        </w:rPr>
        <w:t>1.1 定义</w:t>
      </w:r>
    </w:p>
    <w:p w14:paraId="10B66826">
      <w:pPr>
        <w:pStyle w:val="5"/>
        <w:spacing w:after="0" w:line="360" w:lineRule="auto"/>
        <w:ind w:left="0" w:leftChars="0" w:firstLine="422" w:firstLineChars="200"/>
        <w:rPr>
          <w:rFonts w:hint="eastAsia" w:ascii="宋体" w:hAnsi="宋体"/>
          <w:b/>
          <w:bCs/>
          <w:color w:val="auto"/>
          <w:szCs w:val="21"/>
          <w:highlight w:val="none"/>
        </w:rPr>
      </w:pPr>
      <w:r>
        <w:rPr>
          <w:rFonts w:hint="eastAsia" w:ascii="宋体" w:hAnsi="宋体"/>
          <w:b/>
          <w:bCs/>
          <w:color w:val="auto"/>
          <w:szCs w:val="21"/>
          <w:highlight w:val="none"/>
        </w:rPr>
        <w:t>增加以下内容到1.1.2款：</w:t>
      </w:r>
    </w:p>
    <w:p w14:paraId="0496ED3F">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1.1.2.1</w:t>
      </w:r>
      <w:r>
        <w:rPr>
          <w:rFonts w:hint="eastAsia" w:ascii="宋体" w:hAnsi="宋体"/>
          <w:color w:val="auto"/>
          <w:szCs w:val="21"/>
          <w:highlight w:val="none"/>
          <w:lang w:val="en-US" w:eastAsia="zh-CN"/>
        </w:rPr>
        <w:t>7</w:t>
      </w:r>
      <w:r>
        <w:rPr>
          <w:rFonts w:hint="eastAsia" w:ascii="宋体" w:hAnsi="宋体"/>
          <w:color w:val="auto"/>
          <w:szCs w:val="21"/>
          <w:highlight w:val="none"/>
        </w:rPr>
        <w:t>“农民工”指为承包人及分包单位提供劳动的农村居民。</w:t>
      </w:r>
    </w:p>
    <w:p w14:paraId="4AB6A73B">
      <w:pPr>
        <w:pStyle w:val="5"/>
        <w:spacing w:after="0" w:line="360" w:lineRule="auto"/>
        <w:ind w:left="0" w:leftChars="0" w:firstLine="420" w:firstLineChars="200"/>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1.1.2.18“农民工工资支付保证金”指承包人在银行设立账户并按照工程施工合同额的一定比例存储，专项用于支付为所承包工程提供劳动的农民工被拖欠工资的专项资金。</w:t>
      </w:r>
    </w:p>
    <w:p w14:paraId="031A5ADC">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1.1.2.1</w:t>
      </w:r>
      <w:r>
        <w:rPr>
          <w:rFonts w:hint="eastAsia" w:ascii="宋体" w:hAnsi="宋体"/>
          <w:color w:val="auto"/>
          <w:szCs w:val="21"/>
          <w:highlight w:val="none"/>
          <w:lang w:val="en-US" w:eastAsia="zh-CN"/>
        </w:rPr>
        <w:t>9</w:t>
      </w:r>
      <w:r>
        <w:rPr>
          <w:rFonts w:hint="eastAsia" w:ascii="宋体" w:hAnsi="宋体"/>
          <w:color w:val="auto"/>
          <w:szCs w:val="21"/>
          <w:highlight w:val="none"/>
        </w:rPr>
        <w:t>“工程款支付担保”指为保证履行合同约定的工程款支付义务，由担保人为建设单位向施工单位提供的保证支付工程款的担保。</w:t>
      </w:r>
    </w:p>
    <w:p w14:paraId="18BE0F14">
      <w:pPr>
        <w:pStyle w:val="5"/>
        <w:spacing w:after="0" w:line="360" w:lineRule="auto"/>
        <w:ind w:left="0" w:leftChars="0" w:firstLine="422" w:firstLineChars="200"/>
        <w:rPr>
          <w:rFonts w:hint="eastAsia" w:ascii="宋体" w:hAnsi="宋体"/>
          <w:b/>
          <w:bCs/>
          <w:color w:val="auto"/>
          <w:szCs w:val="21"/>
          <w:highlight w:val="none"/>
        </w:rPr>
      </w:pPr>
      <w:r>
        <w:rPr>
          <w:rFonts w:hint="eastAsia" w:ascii="宋体" w:hAnsi="宋体"/>
          <w:b/>
          <w:bCs/>
          <w:color w:val="auto"/>
          <w:szCs w:val="21"/>
          <w:highlight w:val="none"/>
        </w:rPr>
        <w:t>增加以下内容到1.1.5.9款：</w:t>
      </w:r>
    </w:p>
    <w:p w14:paraId="264FE42E">
      <w:pPr>
        <w:pStyle w:val="5"/>
        <w:spacing w:after="0" w:line="360" w:lineRule="auto"/>
        <w:ind w:left="0" w:leftChars="0" w:firstLine="420" w:firstLineChars="200"/>
        <w:rPr>
          <w:rFonts w:ascii="宋体" w:hAnsi="宋体"/>
          <w:color w:val="auto"/>
          <w:szCs w:val="21"/>
          <w:highlight w:val="none"/>
        </w:rPr>
      </w:pPr>
      <w:r>
        <w:rPr>
          <w:rFonts w:hint="eastAsia" w:ascii="宋体" w:hAnsi="宋体"/>
          <w:color w:val="auto"/>
          <w:szCs w:val="21"/>
          <w:highlight w:val="none"/>
        </w:rPr>
        <w:t>永久占地：指专用合同条款中指明为实施合同工程需永久占用的土地，包括但不限于：红线范围内的占用地、塔基以及极址中心（如有）、电缆沟、井（导流井、观测井等）占地等。</w:t>
      </w:r>
    </w:p>
    <w:p w14:paraId="57F95533">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临时占地：指专用合同条款中指明为实施合同工程需临时占用的土地。</w:t>
      </w:r>
    </w:p>
    <w:p w14:paraId="15BB884A">
      <w:pPr>
        <w:pStyle w:val="5"/>
        <w:spacing w:after="0" w:line="360" w:lineRule="auto"/>
        <w:ind w:left="0" w:leftChars="0" w:firstLine="422" w:firstLineChars="200"/>
        <w:rPr>
          <w:rFonts w:hint="eastAsia" w:ascii="宋体" w:hAnsi="宋体"/>
          <w:b/>
          <w:bCs/>
          <w:color w:val="auto"/>
          <w:szCs w:val="21"/>
          <w:highlight w:val="none"/>
        </w:rPr>
      </w:pPr>
      <w:r>
        <w:rPr>
          <w:rFonts w:hint="eastAsia" w:ascii="宋体" w:hAnsi="宋体"/>
          <w:b/>
          <w:bCs/>
          <w:color w:val="auto"/>
          <w:szCs w:val="21"/>
          <w:highlight w:val="none"/>
        </w:rPr>
        <w:t>增加以下内容到1.10款：</w:t>
      </w:r>
    </w:p>
    <w:p w14:paraId="02C10359">
      <w:pPr>
        <w:pStyle w:val="5"/>
        <w:spacing w:after="0" w:line="360" w:lineRule="auto"/>
        <w:ind w:left="0" w:leftChars="0" w:firstLine="420" w:firstLineChars="200"/>
        <w:rPr>
          <w:rFonts w:ascii="宋体" w:hAnsi="宋体"/>
          <w:color w:val="auto"/>
          <w:szCs w:val="21"/>
          <w:highlight w:val="none"/>
        </w:rPr>
      </w:pPr>
      <w:r>
        <w:rPr>
          <w:rFonts w:ascii="宋体" w:hAnsi="宋体"/>
          <w:color w:val="auto"/>
          <w:szCs w:val="21"/>
          <w:highlight w:val="none"/>
        </w:rPr>
        <w:t>（d）对</w:t>
      </w:r>
      <w:r>
        <w:rPr>
          <w:rFonts w:hint="eastAsia" w:ascii="宋体" w:hAnsi="宋体"/>
          <w:color w:val="auto"/>
          <w:szCs w:val="21"/>
          <w:highlight w:val="none"/>
        </w:rPr>
        <w:t>承包人自行</w:t>
      </w:r>
      <w:r>
        <w:rPr>
          <w:rFonts w:ascii="宋体" w:hAnsi="宋体"/>
          <w:color w:val="auto"/>
          <w:szCs w:val="21"/>
          <w:highlight w:val="none"/>
        </w:rPr>
        <w:t>基于工程开展的科技开发所产生的专利和“四新”等科技成果，应告知发包</w:t>
      </w:r>
      <w:r>
        <w:rPr>
          <w:rFonts w:hint="eastAsia" w:ascii="宋体" w:hAnsi="宋体"/>
          <w:color w:val="auto"/>
          <w:szCs w:val="21"/>
          <w:highlight w:val="none"/>
        </w:rPr>
        <w:t>人</w:t>
      </w:r>
      <w:r>
        <w:rPr>
          <w:rFonts w:ascii="宋体" w:hAnsi="宋体"/>
          <w:color w:val="auto"/>
          <w:szCs w:val="21"/>
          <w:highlight w:val="none"/>
        </w:rPr>
        <w:t>，并与发包</w:t>
      </w:r>
      <w:r>
        <w:rPr>
          <w:rFonts w:hint="eastAsia" w:ascii="宋体" w:hAnsi="宋体"/>
          <w:color w:val="auto"/>
          <w:szCs w:val="21"/>
          <w:highlight w:val="none"/>
        </w:rPr>
        <w:t>人</w:t>
      </w:r>
      <w:r>
        <w:rPr>
          <w:rFonts w:ascii="宋体" w:hAnsi="宋体"/>
          <w:color w:val="auto"/>
          <w:szCs w:val="21"/>
          <w:highlight w:val="none"/>
        </w:rPr>
        <w:t>共同拥有。</w:t>
      </w:r>
    </w:p>
    <w:p w14:paraId="208E8D14">
      <w:pPr>
        <w:pStyle w:val="11"/>
        <w:numPr>
          <w:ilvl w:val="0"/>
          <w:numId w:val="1"/>
        </w:numPr>
        <w:spacing w:after="0" w:line="240" w:lineRule="auto"/>
        <w:ind w:left="0" w:leftChars="0" w:firstLine="422" w:firstLineChars="200"/>
        <w:outlineLvl w:val="2"/>
        <w:rPr>
          <w:rFonts w:hint="eastAsia" w:ascii="宋体"/>
          <w:color w:val="auto"/>
          <w:highlight w:val="none"/>
        </w:rPr>
      </w:pPr>
      <w:r>
        <w:rPr>
          <w:rFonts w:hint="eastAsia" w:ascii="宋体"/>
          <w:color w:val="auto"/>
          <w:highlight w:val="none"/>
        </w:rPr>
        <w:t>发包人</w:t>
      </w:r>
    </w:p>
    <w:p w14:paraId="5FCA26F9">
      <w:pPr>
        <w:pStyle w:val="5"/>
        <w:spacing w:after="0" w:line="360" w:lineRule="auto"/>
        <w:ind w:left="0" w:leftChars="0" w:firstLine="422" w:firstLineChars="200"/>
        <w:rPr>
          <w:rFonts w:hint="eastAsia" w:ascii="宋体" w:hAnsi="宋体"/>
          <w:b/>
          <w:bCs/>
          <w:color w:val="auto"/>
          <w:szCs w:val="21"/>
          <w:highlight w:val="none"/>
          <w:shd w:val="clear" w:color="auto" w:fill="auto"/>
          <w:lang w:val="en-US" w:eastAsia="zh-CN"/>
        </w:rPr>
      </w:pPr>
      <w:r>
        <w:rPr>
          <w:rFonts w:hint="eastAsia" w:ascii="宋体" w:hAnsi="宋体"/>
          <w:b/>
          <w:bCs/>
          <w:color w:val="auto"/>
          <w:szCs w:val="21"/>
          <w:highlight w:val="none"/>
          <w:shd w:val="clear" w:color="auto" w:fill="auto"/>
          <w:lang w:val="en-US" w:eastAsia="zh-CN"/>
        </w:rPr>
        <w:t>增加以下内容到</w:t>
      </w:r>
      <w:r>
        <w:rPr>
          <w:rFonts w:hint="eastAsia" w:ascii="宋体" w:hAnsi="宋体"/>
          <w:b/>
          <w:bCs/>
          <w:color w:val="auto"/>
          <w:szCs w:val="21"/>
          <w:highlight w:val="none"/>
          <w:lang w:val="en-US" w:eastAsia="zh-CN"/>
        </w:rPr>
        <w:t>2.6.1.5</w:t>
      </w:r>
      <w:r>
        <w:rPr>
          <w:rFonts w:hint="eastAsia" w:ascii="宋体" w:hAnsi="宋体"/>
          <w:b/>
          <w:bCs/>
          <w:color w:val="auto"/>
          <w:szCs w:val="21"/>
          <w:highlight w:val="none"/>
          <w:shd w:val="clear" w:color="auto" w:fill="auto"/>
          <w:lang w:val="en-US" w:eastAsia="zh-CN"/>
        </w:rPr>
        <w:t>款：</w:t>
      </w:r>
    </w:p>
    <w:p w14:paraId="69B872D6">
      <w:pPr>
        <w:pStyle w:val="5"/>
        <w:ind w:left="0" w:leftChars="0" w:firstLine="420" w:firstLineChars="200"/>
        <w:rPr>
          <w:rFonts w:ascii="宋体" w:hAnsi="宋体"/>
          <w:color w:val="auto"/>
          <w:highlight w:val="none"/>
        </w:rPr>
      </w:pPr>
      <w:r>
        <w:rPr>
          <w:rFonts w:hint="eastAsia" w:ascii="宋体" w:hAnsi="宋体"/>
          <w:color w:val="auto"/>
          <w:highlight w:val="none"/>
        </w:rPr>
        <w:t>2.6.1.5 承包人</w:t>
      </w:r>
      <w:r>
        <w:rPr>
          <w:rFonts w:ascii="宋体" w:hAnsi="宋体"/>
          <w:color w:val="auto"/>
          <w:highlight w:val="none"/>
        </w:rPr>
        <w:t>考核</w:t>
      </w:r>
    </w:p>
    <w:p w14:paraId="1BC740EB">
      <w:pPr>
        <w:pStyle w:val="5"/>
        <w:ind w:left="0" w:leftChars="0" w:firstLine="420" w:firstLineChars="200"/>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10</w:t>
      </w:r>
      <w:r>
        <w:rPr>
          <w:rFonts w:hint="eastAsia" w:ascii="宋体" w:hAnsi="宋体"/>
          <w:color w:val="auto"/>
          <w:highlight w:val="none"/>
        </w:rPr>
        <w:t>）承包人经济处罚</w:t>
      </w:r>
    </w:p>
    <w:p w14:paraId="5AAF6650">
      <w:pPr>
        <w:pStyle w:val="5"/>
        <w:ind w:left="0" w:leftChars="0" w:firstLine="420" w:firstLineChars="200"/>
        <w:rPr>
          <w:rFonts w:hint="eastAsia" w:ascii="宋体" w:hAnsi="宋体"/>
          <w:color w:val="auto"/>
          <w:highlight w:val="none"/>
        </w:rPr>
      </w:pPr>
      <w:r>
        <w:rPr>
          <w:rFonts w:hint="eastAsia" w:ascii="宋体" w:hAnsi="宋体"/>
          <w:color w:val="auto"/>
          <w:highlight w:val="none"/>
        </w:rPr>
        <w:t>双方约定，发生以下安全事故事件或安全管理问题，发包人有权以一定比例的合同</w:t>
      </w:r>
      <w:r>
        <w:rPr>
          <w:rFonts w:hint="eastAsia" w:ascii="宋体" w:hAnsi="宋体"/>
          <w:color w:val="auto"/>
          <w:highlight w:val="none"/>
          <w:lang w:eastAsia="zh-CN"/>
        </w:rPr>
        <w:t>中标</w:t>
      </w:r>
      <w:r>
        <w:rPr>
          <w:rFonts w:hint="eastAsia" w:ascii="宋体" w:hAnsi="宋体"/>
          <w:color w:val="auto"/>
          <w:highlight w:val="none"/>
        </w:rPr>
        <w:t>金额作为基数，按照发生事件的严重程度划分等级进行处罚。</w:t>
      </w:r>
    </w:p>
    <w:p w14:paraId="59A14F54">
      <w:pPr>
        <w:pStyle w:val="5"/>
        <w:spacing w:before="156" w:beforeLines="5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A、扣罚金额基数（K）的设定：</w:t>
      </w:r>
    </w:p>
    <w:p w14:paraId="40F88F3F">
      <w:pPr>
        <w:pStyle w:val="5"/>
        <w:spacing w:before="0" w:beforeAutospacing="0"/>
        <w:rPr>
          <w:rFonts w:hint="eastAsia" w:ascii="宋体" w:hAnsi="宋体"/>
          <w:b w:val="0"/>
          <w:bCs w:val="0"/>
          <w:color w:val="auto"/>
          <w:highlight w:val="none"/>
        </w:rPr>
      </w:pPr>
      <w:r>
        <w:rPr>
          <w:rFonts w:hint="eastAsia" w:ascii="宋体" w:hAnsi="宋体" w:cs="宋体"/>
          <w:b w:val="0"/>
          <w:bCs w:val="0"/>
          <w:color w:val="auto"/>
          <w:highlight w:val="none"/>
        </w:rPr>
        <w:t>①</w:t>
      </w:r>
      <w:r>
        <w:rPr>
          <w:rFonts w:hint="eastAsia" w:ascii="宋体" w:hAnsi="宋体"/>
          <w:b w:val="0"/>
          <w:bCs w:val="0"/>
          <w:color w:val="auto"/>
          <w:highlight w:val="none"/>
        </w:rPr>
        <w:t>合同</w:t>
      </w:r>
      <w:r>
        <w:rPr>
          <w:rFonts w:hint="eastAsia" w:ascii="宋体" w:hAnsi="宋体"/>
          <w:color w:val="auto"/>
          <w:highlight w:val="none"/>
          <w:lang w:eastAsia="zh-CN"/>
        </w:rPr>
        <w:t>中标</w:t>
      </w:r>
      <w:r>
        <w:rPr>
          <w:rFonts w:hint="eastAsia" w:ascii="宋体" w:hAnsi="宋体"/>
          <w:b w:val="0"/>
          <w:bCs w:val="0"/>
          <w:color w:val="auto"/>
          <w:highlight w:val="none"/>
        </w:rPr>
        <w:t>金额1000万以下的，K为合同</w:t>
      </w:r>
      <w:r>
        <w:rPr>
          <w:rFonts w:hint="eastAsia" w:ascii="宋体" w:hAnsi="宋体"/>
          <w:color w:val="auto"/>
          <w:highlight w:val="none"/>
          <w:lang w:eastAsia="zh-CN"/>
        </w:rPr>
        <w:t>中标</w:t>
      </w:r>
      <w:r>
        <w:rPr>
          <w:rFonts w:hint="eastAsia" w:ascii="宋体" w:hAnsi="宋体"/>
          <w:b w:val="0"/>
          <w:bCs w:val="0"/>
          <w:color w:val="auto"/>
          <w:highlight w:val="none"/>
        </w:rPr>
        <w:t>金额的5%；</w:t>
      </w:r>
    </w:p>
    <w:p w14:paraId="634E2D9C">
      <w:pPr>
        <w:pStyle w:val="5"/>
        <w:spacing w:before="0" w:beforeAutospacing="0"/>
        <w:rPr>
          <w:rFonts w:hint="eastAsia" w:ascii="宋体" w:hAnsi="宋体"/>
          <w:b w:val="0"/>
          <w:bCs w:val="0"/>
          <w:color w:val="auto"/>
          <w:highlight w:val="none"/>
        </w:rPr>
      </w:pPr>
      <w:r>
        <w:rPr>
          <w:rFonts w:hint="eastAsia" w:ascii="宋体" w:hAnsi="宋体" w:cs="宋体"/>
          <w:b w:val="0"/>
          <w:bCs w:val="0"/>
          <w:color w:val="auto"/>
          <w:highlight w:val="none"/>
        </w:rPr>
        <w:t>②</w:t>
      </w:r>
      <w:r>
        <w:rPr>
          <w:rFonts w:hint="eastAsia" w:ascii="宋体" w:hAnsi="宋体"/>
          <w:b w:val="0"/>
          <w:bCs w:val="0"/>
          <w:color w:val="auto"/>
          <w:highlight w:val="none"/>
        </w:rPr>
        <w:t>合同</w:t>
      </w:r>
      <w:r>
        <w:rPr>
          <w:rFonts w:hint="eastAsia" w:ascii="宋体" w:hAnsi="宋体"/>
          <w:color w:val="auto"/>
          <w:highlight w:val="none"/>
          <w:lang w:eastAsia="zh-CN"/>
        </w:rPr>
        <w:t>中标</w:t>
      </w:r>
      <w:r>
        <w:rPr>
          <w:rFonts w:hint="eastAsia" w:ascii="宋体" w:hAnsi="宋体"/>
          <w:b w:val="0"/>
          <w:bCs w:val="0"/>
          <w:color w:val="auto"/>
          <w:highlight w:val="none"/>
        </w:rPr>
        <w:t>金额1000万—1250万的，K为50万元；</w:t>
      </w:r>
    </w:p>
    <w:p w14:paraId="15BB7D84">
      <w:pPr>
        <w:pStyle w:val="5"/>
        <w:spacing w:before="0" w:beforeAutospacing="0"/>
        <w:rPr>
          <w:rFonts w:hint="eastAsia" w:ascii="宋体" w:hAnsi="宋体"/>
          <w:b w:val="0"/>
          <w:bCs w:val="0"/>
          <w:color w:val="auto"/>
          <w:highlight w:val="none"/>
        </w:rPr>
      </w:pPr>
      <w:r>
        <w:rPr>
          <w:rFonts w:hint="eastAsia" w:ascii="宋体" w:hAnsi="宋体" w:cs="宋体"/>
          <w:b w:val="0"/>
          <w:bCs w:val="0"/>
          <w:color w:val="auto"/>
          <w:highlight w:val="none"/>
        </w:rPr>
        <w:t>③</w:t>
      </w:r>
      <w:r>
        <w:rPr>
          <w:rFonts w:hint="eastAsia" w:ascii="宋体" w:hAnsi="宋体"/>
          <w:b w:val="0"/>
          <w:bCs w:val="0"/>
          <w:color w:val="auto"/>
          <w:highlight w:val="none"/>
        </w:rPr>
        <w:t>合同</w:t>
      </w:r>
      <w:r>
        <w:rPr>
          <w:rFonts w:hint="eastAsia" w:ascii="宋体" w:hAnsi="宋体"/>
          <w:color w:val="auto"/>
          <w:highlight w:val="none"/>
          <w:lang w:eastAsia="zh-CN"/>
        </w:rPr>
        <w:t>中标</w:t>
      </w:r>
      <w:r>
        <w:rPr>
          <w:rFonts w:hint="eastAsia" w:ascii="宋体" w:hAnsi="宋体"/>
          <w:b w:val="0"/>
          <w:bCs w:val="0"/>
          <w:color w:val="auto"/>
          <w:highlight w:val="none"/>
        </w:rPr>
        <w:t>金额1250万以上的，K为合同</w:t>
      </w:r>
      <w:r>
        <w:rPr>
          <w:rFonts w:hint="eastAsia" w:ascii="宋体" w:hAnsi="宋体"/>
          <w:color w:val="auto"/>
          <w:highlight w:val="none"/>
          <w:lang w:eastAsia="zh-CN"/>
        </w:rPr>
        <w:t>中标</w:t>
      </w:r>
      <w:r>
        <w:rPr>
          <w:rFonts w:hint="eastAsia" w:ascii="宋体" w:hAnsi="宋体"/>
          <w:b w:val="0"/>
          <w:bCs w:val="0"/>
          <w:color w:val="auto"/>
          <w:highlight w:val="none"/>
        </w:rPr>
        <w:t>金额的4%，最高不超过100万；</w:t>
      </w:r>
    </w:p>
    <w:p w14:paraId="1AD2C364">
      <w:pPr>
        <w:pStyle w:val="5"/>
        <w:spacing w:before="0" w:beforeAutospacing="0"/>
        <w:rPr>
          <w:rFonts w:hint="eastAsia" w:ascii="宋体" w:hAnsi="宋体" w:cs="宋体"/>
          <w:b w:val="0"/>
          <w:bCs w:val="0"/>
          <w:color w:val="auto"/>
          <w:szCs w:val="21"/>
          <w:highlight w:val="none"/>
          <w:lang w:bidi="ar"/>
        </w:rPr>
      </w:pPr>
      <w:r>
        <w:rPr>
          <w:rFonts w:hint="eastAsia" w:ascii="宋体" w:hAnsi="宋体" w:cs="宋体"/>
          <w:b w:val="0"/>
          <w:bCs w:val="0"/>
          <w:color w:val="auto"/>
          <w:highlight w:val="none"/>
        </w:rPr>
        <w:t>④</w:t>
      </w:r>
      <w:r>
        <w:rPr>
          <w:rFonts w:hint="eastAsia" w:ascii="宋体" w:hAnsi="宋体" w:cs="宋体"/>
          <w:b w:val="0"/>
          <w:bCs w:val="0"/>
          <w:color w:val="auto"/>
          <w:szCs w:val="21"/>
          <w:highlight w:val="none"/>
          <w:lang w:bidi="ar"/>
        </w:rPr>
        <w:t>同一合同包含多个单项工程的，按发生事故或问题对应的单项合同</w:t>
      </w:r>
      <w:r>
        <w:rPr>
          <w:rFonts w:hint="eastAsia" w:ascii="宋体" w:hAnsi="宋体"/>
          <w:color w:val="auto"/>
          <w:highlight w:val="none"/>
          <w:lang w:eastAsia="zh-CN"/>
        </w:rPr>
        <w:t>中标</w:t>
      </w:r>
      <w:r>
        <w:rPr>
          <w:rFonts w:hint="eastAsia" w:ascii="宋体" w:hAnsi="宋体" w:cs="宋体"/>
          <w:b w:val="0"/>
          <w:bCs w:val="0"/>
          <w:color w:val="auto"/>
          <w:szCs w:val="21"/>
          <w:highlight w:val="none"/>
          <w:lang w:bidi="ar"/>
        </w:rPr>
        <w:t>金额计算。</w:t>
      </w:r>
    </w:p>
    <w:p w14:paraId="36087240">
      <w:pPr>
        <w:pStyle w:val="5"/>
        <w:spacing w:before="156" w:beforeLines="50" w:beforeAutospacing="0"/>
        <w:rPr>
          <w:rFonts w:hint="eastAsia" w:ascii="宋体" w:hAnsi="宋体" w:cs="宋体"/>
          <w:b w:val="0"/>
          <w:bCs w:val="0"/>
          <w:color w:val="auto"/>
          <w:szCs w:val="21"/>
          <w:highlight w:val="none"/>
          <w:lang w:bidi="ar"/>
        </w:rPr>
      </w:pPr>
      <w:r>
        <w:rPr>
          <w:rFonts w:hint="eastAsia" w:ascii="宋体" w:hAnsi="宋体" w:cs="宋体"/>
          <w:b w:val="0"/>
          <w:bCs w:val="0"/>
          <w:color w:val="auto"/>
          <w:szCs w:val="21"/>
          <w:highlight w:val="none"/>
          <w:lang w:bidi="ar"/>
        </w:rPr>
        <w:t>B、扣罚原则：</w:t>
      </w:r>
    </w:p>
    <w:p w14:paraId="64DB35E4">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①　发生电力人身事故、电力设备事故、发生电力安全事故，扣罚基数（K）的100%；</w:t>
      </w:r>
    </w:p>
    <w:p w14:paraId="27E69CE7">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②　发生一级电力人身事件、电力设备事件、电力安全事件，扣罚基数（K）的80%；</w:t>
      </w:r>
    </w:p>
    <w:p w14:paraId="12BF081E">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③　发生二级电力人身事件、电力设备事件、电力安全事件，扣罚基数（K）的70%；</w:t>
      </w:r>
    </w:p>
    <w:p w14:paraId="23BA007B">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④　发生三级电力人身事件、电力设备事件、电力安全事件，扣罚基数（K）的60%；</w:t>
      </w:r>
    </w:p>
    <w:p w14:paraId="7566F1DA">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⑤　发生四级电力人身事件、电力设备事件、电力安全事件，扣罚基数（K）的50%；</w:t>
      </w:r>
    </w:p>
    <w:p w14:paraId="159F898A">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⑥　发生五级电力人身事件、电力设备事件、电力安全事件，扣罚基数（K）的30%；</w:t>
      </w:r>
    </w:p>
    <w:p w14:paraId="3C991FA3">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⑦　发生安全事故事件不配合调查组调查或捏造事实、破坏现场或相关资料等，或因安全文、明施工较差，被政府部门或局上级单位停工、通报、约谈等，每起扣罚基数（K）的30%；</w:t>
      </w:r>
    </w:p>
    <w:p w14:paraId="7B28AF5B">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⑧　发生对社会及公司造成不良影响的安全事件，或发生安全突发或异常事件，未及时向建设单位报告，每起扣罚基数（K）的20%；</w:t>
      </w:r>
    </w:p>
    <w:p w14:paraId="3AEBCF44">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⑨　发生因安全文明施工较差，被局层级约谈、通报或投诉等，每起扣罚基数（K）的10-20%；</w:t>
      </w:r>
    </w:p>
    <w:p w14:paraId="4DC90E4E">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⑩　发生未按规定办理工作票作业，每起扣罚基数（K）的10%，但不低于10000元；</w:t>
      </w:r>
    </w:p>
    <w:p w14:paraId="4139B125">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⑪　发生按规定办理工作票，但工作票负责人不在现场或未按规定变更，每起扣罚基数（K）的5%，但不低于8000元；</w:t>
      </w:r>
    </w:p>
    <w:p w14:paraId="79250724">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⑫　发生未按工作票规定漏装接地线（含应装而未装个人保安线）、高处作业未按规定使用安全带，每起扣罚基数（K）的2%，但不低于5000元；</w:t>
      </w:r>
    </w:p>
    <w:p w14:paraId="1564E031">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⑬　发生擅自扩大许可工作范围或增加工作内容；违规擅自打开带电开关柜的前、后盖板、静触头绝缘挡板等隔离装置，每起扣罚基数（K）的1%，但不低于2000元；</w:t>
      </w:r>
    </w:p>
    <w:p w14:paraId="08B0E5A5">
      <w:pPr>
        <w:pStyle w:val="5"/>
        <w:spacing w:before="0" w:beforeAutospacing="0"/>
        <w:ind w:left="0" w:leftChars="0" w:firstLine="420" w:firstLineChars="200"/>
        <w:rPr>
          <w:rFonts w:hint="eastAsia" w:ascii="宋体" w:hAnsi="宋体"/>
          <w:color w:val="auto"/>
          <w:highlight w:val="none"/>
        </w:rPr>
      </w:pPr>
      <w:r>
        <w:rPr>
          <w:rFonts w:hint="eastAsia" w:ascii="宋体" w:hAnsi="宋体"/>
          <w:color w:val="auto"/>
          <w:highlight w:val="none"/>
        </w:rPr>
        <w:t>⑭　发生因安全文、明施工较差，被业主项目部层级约谈、通报或投诉等，或在各级安全检查中，发现存在问题，施工现场存在未整改或整改不彻底、弄虚作假等行为，每起扣罚基数（K）的0-10%。</w:t>
      </w:r>
    </w:p>
    <w:p w14:paraId="1F23651B">
      <w:pPr>
        <w:pStyle w:val="5"/>
        <w:ind w:left="0" w:leftChars="0" w:firstLine="422" w:firstLineChars="200"/>
        <w:rPr>
          <w:rFonts w:ascii="宋体" w:hAnsi="宋体"/>
          <w:b/>
          <w:bCs/>
          <w:color w:val="auto"/>
          <w:highlight w:val="none"/>
        </w:rPr>
      </w:pPr>
      <w:r>
        <w:rPr>
          <w:rFonts w:hint="eastAsia" w:ascii="宋体" w:hAnsi="宋体"/>
          <w:b/>
          <w:bCs/>
          <w:color w:val="auto"/>
          <w:highlight w:val="none"/>
        </w:rPr>
        <w:t>替换以下内容到第</w:t>
      </w:r>
      <w:r>
        <w:rPr>
          <w:rFonts w:hint="eastAsia" w:ascii="宋体" w:hAnsi="宋体"/>
          <w:b/>
          <w:bCs/>
          <w:color w:val="auto"/>
          <w:highlight w:val="none"/>
          <w:lang w:val="en-US" w:eastAsia="zh-CN"/>
        </w:rPr>
        <w:t>2.6.2</w:t>
      </w:r>
      <w:r>
        <w:rPr>
          <w:rFonts w:hint="eastAsia" w:ascii="宋体" w:hAnsi="宋体"/>
          <w:b/>
          <w:bCs/>
          <w:color w:val="auto"/>
          <w:highlight w:val="none"/>
        </w:rPr>
        <w:t>款：</w:t>
      </w:r>
    </w:p>
    <w:p w14:paraId="09754544">
      <w:pPr>
        <w:pStyle w:val="5"/>
        <w:spacing w:after="0"/>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2.6.2 奖励</w:t>
      </w:r>
      <w:r>
        <w:rPr>
          <w:rFonts w:ascii="宋体" w:hAnsi="宋体"/>
          <w:color w:val="auto"/>
          <w:szCs w:val="21"/>
          <w:highlight w:val="none"/>
          <w:shd w:val="clear" w:color="auto" w:fill="auto"/>
        </w:rPr>
        <w:t>权利</w:t>
      </w:r>
    </w:p>
    <w:p w14:paraId="7B7C8441">
      <w:pPr>
        <w:pStyle w:val="5"/>
        <w:spacing w:after="0"/>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承包人有下列良好表现，发包人应有权实施奖励</w:t>
      </w:r>
      <w:r>
        <w:rPr>
          <w:rFonts w:ascii="宋体" w:hAnsi="宋体"/>
          <w:color w:val="auto"/>
          <w:szCs w:val="21"/>
          <w:highlight w:val="none"/>
          <w:shd w:val="clear" w:color="auto" w:fill="auto"/>
        </w:rPr>
        <w:t>措施，具体包括：</w:t>
      </w:r>
    </w:p>
    <w:p w14:paraId="3524FE67">
      <w:pPr>
        <w:pStyle w:val="7"/>
        <w:widowControl w:val="0"/>
        <w:spacing w:after="0" w:afterAutospacing="0" w:line="360" w:lineRule="auto"/>
        <w:ind w:firstLine="420" w:firstLineChars="200"/>
        <w:jc w:val="both"/>
        <w:rPr>
          <w:rFonts w:hint="eastAsia"/>
          <w:color w:val="auto"/>
          <w:highlight w:val="none"/>
          <w:u w:val="single"/>
        </w:rPr>
      </w:pPr>
      <w:r>
        <w:rPr>
          <w:rFonts w:hint="eastAsia"/>
          <w:color w:val="auto"/>
          <w:kern w:val="2"/>
          <w:sz w:val="21"/>
          <w:szCs w:val="21"/>
          <w:highlight w:val="none"/>
          <w:lang w:bidi="ar"/>
        </w:rPr>
        <w:t>（1）</w:t>
      </w:r>
      <w:r>
        <w:rPr>
          <w:rFonts w:hint="eastAsia"/>
          <w:color w:val="auto"/>
          <w:kern w:val="2"/>
          <w:sz w:val="21"/>
          <w:szCs w:val="21"/>
          <w:highlight w:val="none"/>
          <w:u w:val="single"/>
          <w:lang w:bidi="ar"/>
        </w:rPr>
        <w:t>项目被评为国家优质工程奖（鲁班奖）、电力行业优质工程、南方电网公司优质工程等，发包人可以考虑以</w:t>
      </w:r>
      <w:r>
        <w:rPr>
          <w:rFonts w:hint="eastAsia"/>
          <w:color w:val="auto"/>
          <w:kern w:val="2"/>
          <w:sz w:val="21"/>
          <w:szCs w:val="21"/>
          <w:highlight w:val="none"/>
          <w:u w:val="single"/>
          <w:lang w:eastAsia="zh-CN" w:bidi="ar"/>
        </w:rPr>
        <w:t>中标合同价（以下简称“合同额”）</w:t>
      </w:r>
      <w:r>
        <w:rPr>
          <w:rFonts w:hint="eastAsia"/>
          <w:color w:val="auto"/>
          <w:kern w:val="2"/>
          <w:sz w:val="21"/>
          <w:szCs w:val="21"/>
          <w:highlight w:val="none"/>
          <w:u w:val="single"/>
          <w:lang w:bidi="ar"/>
        </w:rPr>
        <w:t>为基础对承包人进行奖励（国家优质工程奖（鲁班奖）按3%、电力行业优质工程按2%、南方电网公司优质工程等按1.5%）</w:t>
      </w:r>
      <w:r>
        <w:rPr>
          <w:rFonts w:hint="eastAsia"/>
          <w:color w:val="auto"/>
          <w:kern w:val="2"/>
          <w:sz w:val="21"/>
          <w:szCs w:val="21"/>
          <w:highlight w:val="none"/>
          <w:u w:val="single"/>
          <w:lang w:eastAsia="zh-CN" w:bidi="ar"/>
        </w:rPr>
        <w:t>。</w:t>
      </w:r>
      <w:r>
        <w:rPr>
          <w:rFonts w:hint="eastAsia"/>
          <w:color w:val="auto"/>
          <w:kern w:val="2"/>
          <w:sz w:val="21"/>
          <w:szCs w:val="21"/>
          <w:highlight w:val="none"/>
          <w:u w:val="single"/>
          <w:lang w:bidi="ar"/>
        </w:rPr>
        <w:t>奖励标准及具体奖励办法如下：</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587"/>
        <w:gridCol w:w="600"/>
        <w:gridCol w:w="1220"/>
        <w:gridCol w:w="851"/>
        <w:gridCol w:w="5604"/>
      </w:tblGrid>
      <w:tr w14:paraId="25514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645" w:type="dxa"/>
            <w:tcBorders>
              <w:top w:val="single" w:color="auto" w:sz="4" w:space="0"/>
              <w:left w:val="single" w:color="auto" w:sz="4" w:space="0"/>
              <w:bottom w:val="single" w:color="auto" w:sz="4" w:space="0"/>
              <w:right w:val="single" w:color="auto" w:sz="4" w:space="0"/>
            </w:tcBorders>
            <w:noWrap w:val="0"/>
            <w:vAlign w:val="center"/>
          </w:tcPr>
          <w:p w14:paraId="3C24D873">
            <w:pPr>
              <w:jc w:val="center"/>
              <w:rPr>
                <w:rFonts w:hint="eastAsia" w:ascii="宋体" w:hAnsi="宋体" w:cs="Calibri"/>
                <w:b/>
                <w:color w:val="auto"/>
                <w:highlight w:val="none"/>
              </w:rPr>
            </w:pPr>
            <w:r>
              <w:rPr>
                <w:rFonts w:hint="eastAsia" w:ascii="宋体" w:hAnsi="宋体" w:cs="宋体"/>
                <w:b/>
                <w:color w:val="auto"/>
                <w:szCs w:val="21"/>
                <w:highlight w:val="none"/>
                <w:lang w:bidi="ar"/>
              </w:rPr>
              <w:t>序号</w:t>
            </w:r>
          </w:p>
        </w:tc>
        <w:tc>
          <w:tcPr>
            <w:tcW w:w="2407" w:type="dxa"/>
            <w:gridSpan w:val="3"/>
            <w:tcBorders>
              <w:top w:val="single" w:color="auto" w:sz="4" w:space="0"/>
              <w:left w:val="nil"/>
              <w:bottom w:val="single" w:color="auto" w:sz="4" w:space="0"/>
              <w:right w:val="single" w:color="auto" w:sz="4" w:space="0"/>
            </w:tcBorders>
            <w:noWrap w:val="0"/>
            <w:vAlign w:val="center"/>
          </w:tcPr>
          <w:p w14:paraId="761850E4">
            <w:pPr>
              <w:jc w:val="center"/>
              <w:rPr>
                <w:rFonts w:hint="eastAsia" w:ascii="宋体" w:hAnsi="宋体" w:cs="Calibri"/>
                <w:b/>
                <w:color w:val="auto"/>
                <w:highlight w:val="none"/>
              </w:rPr>
            </w:pPr>
            <w:r>
              <w:rPr>
                <w:rFonts w:hint="eastAsia" w:ascii="宋体" w:hAnsi="宋体" w:cs="宋体"/>
                <w:b/>
                <w:color w:val="auto"/>
                <w:szCs w:val="21"/>
                <w:highlight w:val="none"/>
                <w:lang w:bidi="ar"/>
              </w:rPr>
              <w:t>优质工程奖项</w:t>
            </w:r>
          </w:p>
        </w:tc>
        <w:tc>
          <w:tcPr>
            <w:tcW w:w="851" w:type="dxa"/>
            <w:tcBorders>
              <w:top w:val="single" w:color="auto" w:sz="4" w:space="0"/>
              <w:left w:val="nil"/>
              <w:bottom w:val="single" w:color="auto" w:sz="4" w:space="0"/>
              <w:right w:val="single" w:color="auto" w:sz="4" w:space="0"/>
            </w:tcBorders>
            <w:noWrap w:val="0"/>
            <w:vAlign w:val="center"/>
          </w:tcPr>
          <w:p w14:paraId="023E23AC">
            <w:pPr>
              <w:jc w:val="center"/>
              <w:rPr>
                <w:rFonts w:hint="eastAsia" w:ascii="宋体" w:hAnsi="宋体" w:cs="Calibri"/>
                <w:b/>
                <w:color w:val="auto"/>
                <w:highlight w:val="none"/>
              </w:rPr>
            </w:pPr>
            <w:r>
              <w:rPr>
                <w:rFonts w:hint="eastAsia" w:ascii="宋体" w:hAnsi="宋体" w:cs="宋体"/>
                <w:b/>
                <w:color w:val="auto"/>
                <w:szCs w:val="21"/>
                <w:highlight w:val="none"/>
                <w:lang w:bidi="ar"/>
              </w:rPr>
              <w:t>承包人</w:t>
            </w:r>
          </w:p>
        </w:tc>
        <w:tc>
          <w:tcPr>
            <w:tcW w:w="5604" w:type="dxa"/>
            <w:tcBorders>
              <w:top w:val="single" w:color="auto" w:sz="4" w:space="0"/>
              <w:left w:val="nil"/>
              <w:bottom w:val="single" w:color="auto" w:sz="4" w:space="0"/>
              <w:right w:val="single" w:color="000000" w:sz="4" w:space="0"/>
            </w:tcBorders>
            <w:noWrap w:val="0"/>
            <w:vAlign w:val="center"/>
          </w:tcPr>
          <w:p w14:paraId="3221151E">
            <w:pPr>
              <w:jc w:val="center"/>
              <w:rPr>
                <w:rFonts w:hint="eastAsia" w:ascii="宋体" w:hAnsi="宋体" w:cs="Calibri"/>
                <w:b/>
                <w:color w:val="auto"/>
                <w:highlight w:val="none"/>
              </w:rPr>
            </w:pPr>
            <w:r>
              <w:rPr>
                <w:rFonts w:hint="eastAsia" w:ascii="宋体" w:hAnsi="宋体" w:cs="宋体"/>
                <w:b/>
                <w:color w:val="auto"/>
                <w:szCs w:val="21"/>
                <w:highlight w:val="none"/>
                <w:lang w:bidi="ar"/>
              </w:rPr>
              <w:t>奖 励 金</w:t>
            </w:r>
          </w:p>
        </w:tc>
      </w:tr>
      <w:tr w14:paraId="090EA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645" w:type="dxa"/>
            <w:vMerge w:val="restart"/>
            <w:tcBorders>
              <w:top w:val="nil"/>
              <w:left w:val="single" w:color="auto" w:sz="4" w:space="0"/>
              <w:bottom w:val="single" w:color="auto" w:sz="4" w:space="0"/>
              <w:right w:val="single" w:color="auto" w:sz="4" w:space="0"/>
            </w:tcBorders>
            <w:noWrap w:val="0"/>
            <w:vAlign w:val="center"/>
          </w:tcPr>
          <w:p w14:paraId="581A130B">
            <w:pPr>
              <w:jc w:val="center"/>
              <w:rPr>
                <w:rFonts w:hint="eastAsia" w:ascii="宋体" w:hAnsi="宋体" w:cs="Calibri"/>
                <w:color w:val="auto"/>
                <w:highlight w:val="none"/>
              </w:rPr>
            </w:pPr>
            <w:r>
              <w:rPr>
                <w:rFonts w:hint="eastAsia" w:ascii="宋体" w:hAnsi="宋体" w:cs="宋体"/>
                <w:color w:val="auto"/>
                <w:szCs w:val="21"/>
                <w:highlight w:val="none"/>
                <w:lang w:bidi="ar"/>
              </w:rPr>
              <w:t>1</w:t>
            </w:r>
          </w:p>
        </w:tc>
        <w:tc>
          <w:tcPr>
            <w:tcW w:w="587" w:type="dxa"/>
            <w:vMerge w:val="restart"/>
            <w:tcBorders>
              <w:top w:val="nil"/>
              <w:left w:val="nil"/>
              <w:bottom w:val="single" w:color="auto" w:sz="4" w:space="0"/>
              <w:right w:val="single" w:color="auto" w:sz="4" w:space="0"/>
            </w:tcBorders>
            <w:noWrap w:val="0"/>
            <w:vAlign w:val="center"/>
          </w:tcPr>
          <w:p w14:paraId="3218508B">
            <w:pPr>
              <w:jc w:val="center"/>
              <w:rPr>
                <w:rFonts w:hint="eastAsia" w:ascii="宋体" w:hAnsi="宋体" w:cs="Calibri"/>
                <w:color w:val="auto"/>
                <w:highlight w:val="none"/>
              </w:rPr>
            </w:pPr>
            <w:r>
              <w:rPr>
                <w:rFonts w:hint="eastAsia" w:ascii="宋体" w:hAnsi="宋体" w:cs="宋体"/>
                <w:color w:val="auto"/>
                <w:szCs w:val="21"/>
                <w:highlight w:val="none"/>
                <w:lang w:bidi="ar"/>
              </w:rPr>
              <w:t>国家级</w:t>
            </w:r>
          </w:p>
        </w:tc>
        <w:tc>
          <w:tcPr>
            <w:tcW w:w="1820" w:type="dxa"/>
            <w:gridSpan w:val="2"/>
            <w:vMerge w:val="restart"/>
            <w:tcBorders>
              <w:top w:val="nil"/>
              <w:left w:val="nil"/>
              <w:bottom w:val="single" w:color="auto" w:sz="4" w:space="0"/>
              <w:right w:val="single" w:color="auto" w:sz="4" w:space="0"/>
            </w:tcBorders>
            <w:noWrap w:val="0"/>
            <w:vAlign w:val="center"/>
          </w:tcPr>
          <w:p w14:paraId="645DA6B3">
            <w:pPr>
              <w:jc w:val="center"/>
              <w:rPr>
                <w:rFonts w:hint="eastAsia" w:ascii="宋体" w:hAnsi="宋体" w:cs="Calibri"/>
                <w:color w:val="auto"/>
                <w:highlight w:val="none"/>
              </w:rPr>
            </w:pPr>
            <w:r>
              <w:rPr>
                <w:rFonts w:hint="eastAsia" w:ascii="宋体" w:hAnsi="宋体" w:cs="宋体"/>
                <w:color w:val="auto"/>
                <w:szCs w:val="21"/>
                <w:highlight w:val="none"/>
                <w:lang w:bidi="ar"/>
              </w:rPr>
              <w:t>国家优质工程</w:t>
            </w:r>
          </w:p>
          <w:p w14:paraId="3C13B207">
            <w:pPr>
              <w:jc w:val="center"/>
              <w:rPr>
                <w:rFonts w:hint="eastAsia" w:ascii="宋体" w:hAnsi="宋体" w:cs="Calibri"/>
                <w:color w:val="auto"/>
                <w:highlight w:val="none"/>
              </w:rPr>
            </w:pPr>
            <w:r>
              <w:rPr>
                <w:rFonts w:hint="eastAsia" w:ascii="宋体" w:hAnsi="宋体" w:cs="宋体"/>
                <w:color w:val="auto"/>
                <w:szCs w:val="21"/>
                <w:highlight w:val="none"/>
                <w:lang w:bidi="ar"/>
              </w:rPr>
              <w:t>金质奖</w:t>
            </w:r>
          </w:p>
        </w:tc>
        <w:tc>
          <w:tcPr>
            <w:tcW w:w="851" w:type="dxa"/>
            <w:tcBorders>
              <w:top w:val="single" w:color="auto" w:sz="4" w:space="0"/>
              <w:left w:val="nil"/>
              <w:bottom w:val="single" w:color="000000" w:sz="4" w:space="0"/>
              <w:right w:val="single" w:color="auto" w:sz="4" w:space="0"/>
            </w:tcBorders>
            <w:noWrap w:val="0"/>
            <w:vAlign w:val="center"/>
          </w:tcPr>
          <w:p w14:paraId="6562DA26">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auto" w:sz="4" w:space="0"/>
              <w:left w:val="nil"/>
              <w:bottom w:val="single" w:color="000000" w:sz="4" w:space="0"/>
              <w:right w:val="single" w:color="auto" w:sz="4" w:space="0"/>
            </w:tcBorders>
            <w:noWrap w:val="0"/>
            <w:vAlign w:val="center"/>
          </w:tcPr>
          <w:p w14:paraId="44D8A99F">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合同额3%，最高不超过75万元，最低不低于10万元</w:t>
            </w:r>
          </w:p>
        </w:tc>
      </w:tr>
      <w:tr w14:paraId="2D69E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2EDA2835">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4E1601F3">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219CB268">
            <w:pPr>
              <w:rPr>
                <w:color w:val="auto"/>
                <w:szCs w:val="22"/>
                <w:highlight w:val="none"/>
              </w:rPr>
            </w:pPr>
          </w:p>
        </w:tc>
        <w:tc>
          <w:tcPr>
            <w:tcW w:w="851" w:type="dxa"/>
            <w:tcBorders>
              <w:top w:val="single" w:color="000000" w:sz="4" w:space="0"/>
              <w:left w:val="nil"/>
              <w:bottom w:val="single" w:color="000000" w:sz="4" w:space="0"/>
              <w:right w:val="single" w:color="auto" w:sz="4" w:space="0"/>
            </w:tcBorders>
            <w:noWrap w:val="0"/>
            <w:vAlign w:val="center"/>
          </w:tcPr>
          <w:p w14:paraId="485A93C5">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14:paraId="596BEFC9">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合同额3%，最高不超过50万元，最低不低于5万元</w:t>
            </w:r>
          </w:p>
        </w:tc>
      </w:tr>
      <w:tr w14:paraId="68E63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6C8DE68A">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5B7E1FF9">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18A2367F">
            <w:pPr>
              <w:rPr>
                <w:color w:val="auto"/>
                <w:szCs w:val="22"/>
                <w:highlight w:val="none"/>
              </w:rPr>
            </w:pPr>
          </w:p>
        </w:tc>
        <w:tc>
          <w:tcPr>
            <w:tcW w:w="851" w:type="dxa"/>
            <w:tcBorders>
              <w:top w:val="single" w:color="000000" w:sz="4" w:space="0"/>
              <w:left w:val="nil"/>
              <w:bottom w:val="single" w:color="auto" w:sz="4" w:space="0"/>
              <w:right w:val="single" w:color="auto" w:sz="4" w:space="0"/>
            </w:tcBorders>
            <w:noWrap w:val="0"/>
            <w:vAlign w:val="center"/>
          </w:tcPr>
          <w:p w14:paraId="15E6FEC3">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auto" w:sz="4" w:space="0"/>
              <w:right w:val="single" w:color="auto" w:sz="4" w:space="0"/>
            </w:tcBorders>
            <w:noWrap w:val="0"/>
            <w:vAlign w:val="center"/>
          </w:tcPr>
          <w:p w14:paraId="18E26E9C">
            <w:pPr>
              <w:jc w:val="left"/>
              <w:rPr>
                <w:rFonts w:hint="eastAsia" w:ascii="宋体" w:hAnsi="宋体" w:cs="Calibri"/>
                <w:color w:val="auto"/>
                <w:highlight w:val="none"/>
              </w:rPr>
            </w:pPr>
            <w:r>
              <w:rPr>
                <w:rFonts w:hint="eastAsia" w:ascii="宋体" w:hAnsi="宋体" w:cs="宋体"/>
                <w:color w:val="auto"/>
                <w:szCs w:val="21"/>
                <w:highlight w:val="none"/>
                <w:lang w:bidi="ar"/>
              </w:rPr>
              <w:t>合同额3%，高不超过300万元，最低不低于50万元</w:t>
            </w:r>
          </w:p>
        </w:tc>
      </w:tr>
      <w:tr w14:paraId="2FA53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32062BE8">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33ADCA03">
            <w:pPr>
              <w:rPr>
                <w:color w:val="auto"/>
                <w:szCs w:val="22"/>
                <w:highlight w:val="none"/>
              </w:rPr>
            </w:pPr>
          </w:p>
        </w:tc>
        <w:tc>
          <w:tcPr>
            <w:tcW w:w="1820" w:type="dxa"/>
            <w:gridSpan w:val="2"/>
            <w:vMerge w:val="restart"/>
            <w:tcBorders>
              <w:top w:val="nil"/>
              <w:left w:val="nil"/>
              <w:bottom w:val="single" w:color="auto" w:sz="4" w:space="0"/>
              <w:right w:val="single" w:color="auto" w:sz="4" w:space="0"/>
            </w:tcBorders>
            <w:noWrap w:val="0"/>
            <w:vAlign w:val="center"/>
          </w:tcPr>
          <w:p w14:paraId="2954E0F7">
            <w:pPr>
              <w:jc w:val="center"/>
              <w:rPr>
                <w:rFonts w:hint="eastAsia" w:ascii="宋体" w:hAnsi="宋体" w:cs="Calibri"/>
                <w:color w:val="auto"/>
                <w:highlight w:val="none"/>
              </w:rPr>
            </w:pPr>
            <w:r>
              <w:rPr>
                <w:rFonts w:hint="eastAsia" w:ascii="宋体" w:hAnsi="宋体" w:cs="宋体"/>
                <w:color w:val="auto"/>
                <w:szCs w:val="21"/>
                <w:highlight w:val="none"/>
                <w:lang w:bidi="ar"/>
              </w:rPr>
              <w:t>①国家优质工程奖</w:t>
            </w:r>
          </w:p>
          <w:p w14:paraId="20454D43">
            <w:pPr>
              <w:jc w:val="center"/>
              <w:rPr>
                <w:rFonts w:hint="eastAsia" w:ascii="宋体" w:hAnsi="宋体" w:cs="Calibri"/>
                <w:color w:val="auto"/>
                <w:highlight w:val="none"/>
              </w:rPr>
            </w:pPr>
            <w:r>
              <w:rPr>
                <w:rFonts w:hint="eastAsia" w:ascii="宋体" w:hAnsi="宋体" w:cs="宋体"/>
                <w:color w:val="auto"/>
                <w:szCs w:val="21"/>
                <w:highlight w:val="none"/>
                <w:lang w:bidi="ar"/>
              </w:rPr>
              <w:t>②鲁班奖</w:t>
            </w:r>
          </w:p>
        </w:tc>
        <w:tc>
          <w:tcPr>
            <w:tcW w:w="851" w:type="dxa"/>
            <w:tcBorders>
              <w:top w:val="single" w:color="auto" w:sz="4" w:space="0"/>
              <w:left w:val="nil"/>
              <w:bottom w:val="single" w:color="000000" w:sz="4" w:space="0"/>
              <w:right w:val="single" w:color="auto" w:sz="4" w:space="0"/>
            </w:tcBorders>
            <w:noWrap w:val="0"/>
            <w:vAlign w:val="center"/>
          </w:tcPr>
          <w:p w14:paraId="77063200">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14:paraId="1513CA5B">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合同额3%，最高不超过75万元，最低不低于5万元</w:t>
            </w:r>
          </w:p>
        </w:tc>
      </w:tr>
      <w:tr w14:paraId="55350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0D69FB0F">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2F304504">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198E12D7">
            <w:pPr>
              <w:rPr>
                <w:color w:val="auto"/>
                <w:szCs w:val="22"/>
                <w:highlight w:val="none"/>
              </w:rPr>
            </w:pPr>
          </w:p>
        </w:tc>
        <w:tc>
          <w:tcPr>
            <w:tcW w:w="851" w:type="dxa"/>
            <w:tcBorders>
              <w:top w:val="single" w:color="auto" w:sz="4" w:space="0"/>
              <w:left w:val="nil"/>
              <w:bottom w:val="single" w:color="000000" w:sz="4" w:space="0"/>
              <w:right w:val="single" w:color="auto" w:sz="4" w:space="0"/>
            </w:tcBorders>
            <w:noWrap w:val="0"/>
            <w:vAlign w:val="center"/>
          </w:tcPr>
          <w:p w14:paraId="65AEF93D">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14:paraId="76855980">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合同额3%，最高不超过30万元，最低不低于2万元</w:t>
            </w:r>
          </w:p>
        </w:tc>
      </w:tr>
      <w:tr w14:paraId="7C24F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48B01E73">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0CC1620C">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72940C2E">
            <w:pPr>
              <w:rPr>
                <w:color w:val="auto"/>
                <w:szCs w:val="22"/>
                <w:highlight w:val="none"/>
              </w:rPr>
            </w:pPr>
          </w:p>
        </w:tc>
        <w:tc>
          <w:tcPr>
            <w:tcW w:w="851" w:type="dxa"/>
            <w:tcBorders>
              <w:top w:val="single" w:color="auto" w:sz="4" w:space="0"/>
              <w:left w:val="nil"/>
              <w:bottom w:val="single" w:color="000000" w:sz="4" w:space="0"/>
              <w:right w:val="single" w:color="auto" w:sz="4" w:space="0"/>
            </w:tcBorders>
            <w:noWrap w:val="0"/>
            <w:vAlign w:val="center"/>
          </w:tcPr>
          <w:p w14:paraId="39DE7AB2">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14:paraId="29208544">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合同额3%，最高不超过200万元，最低不低于20万元</w:t>
            </w:r>
          </w:p>
        </w:tc>
      </w:tr>
      <w:tr w14:paraId="72449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59DB8746">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7F5B91EE">
            <w:pPr>
              <w:rPr>
                <w:color w:val="auto"/>
                <w:szCs w:val="22"/>
                <w:highlight w:val="none"/>
              </w:rPr>
            </w:pPr>
          </w:p>
        </w:tc>
        <w:tc>
          <w:tcPr>
            <w:tcW w:w="1820" w:type="dxa"/>
            <w:gridSpan w:val="2"/>
            <w:vMerge w:val="restart"/>
            <w:tcBorders>
              <w:top w:val="nil"/>
              <w:left w:val="nil"/>
              <w:bottom w:val="single" w:color="auto" w:sz="4" w:space="0"/>
              <w:right w:val="single" w:color="auto" w:sz="4" w:space="0"/>
            </w:tcBorders>
            <w:noWrap w:val="0"/>
            <w:vAlign w:val="center"/>
          </w:tcPr>
          <w:p w14:paraId="6C53A98A">
            <w:pPr>
              <w:jc w:val="center"/>
              <w:rPr>
                <w:rFonts w:hint="eastAsia" w:ascii="宋体" w:hAnsi="宋体" w:cs="Calibri"/>
                <w:color w:val="auto"/>
                <w:highlight w:val="none"/>
              </w:rPr>
            </w:pPr>
            <w:r>
              <w:rPr>
                <w:rFonts w:hint="eastAsia" w:ascii="宋体" w:hAnsi="宋体" w:cs="宋体"/>
                <w:color w:val="auto"/>
                <w:szCs w:val="21"/>
                <w:highlight w:val="none"/>
                <w:lang w:bidi="ar"/>
              </w:rPr>
              <w:t>中国安装工程</w:t>
            </w:r>
          </w:p>
          <w:p w14:paraId="5FEFC0F2">
            <w:pPr>
              <w:jc w:val="center"/>
              <w:rPr>
                <w:rFonts w:hint="eastAsia" w:ascii="宋体" w:hAnsi="宋体" w:cs="Calibri"/>
                <w:color w:val="auto"/>
                <w:highlight w:val="none"/>
              </w:rPr>
            </w:pPr>
            <w:r>
              <w:rPr>
                <w:rFonts w:hint="eastAsia" w:ascii="宋体" w:hAnsi="宋体" w:cs="宋体"/>
                <w:color w:val="auto"/>
                <w:szCs w:val="21"/>
                <w:highlight w:val="none"/>
                <w:lang w:bidi="ar"/>
              </w:rPr>
              <w:t>优质奖</w:t>
            </w:r>
          </w:p>
        </w:tc>
        <w:tc>
          <w:tcPr>
            <w:tcW w:w="851" w:type="dxa"/>
            <w:tcBorders>
              <w:top w:val="single" w:color="auto" w:sz="4" w:space="0"/>
              <w:left w:val="nil"/>
              <w:bottom w:val="single" w:color="000000" w:sz="4" w:space="0"/>
              <w:right w:val="single" w:color="auto" w:sz="4" w:space="0"/>
            </w:tcBorders>
            <w:noWrap w:val="0"/>
            <w:vAlign w:val="center"/>
          </w:tcPr>
          <w:p w14:paraId="27F5BD99">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14:paraId="2F8CBF12">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合同额3%，最高不超过50万元，最低不低于2万元</w:t>
            </w:r>
          </w:p>
        </w:tc>
      </w:tr>
      <w:tr w14:paraId="17786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7396CAD1">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736E04D1">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36BF9C83">
            <w:pPr>
              <w:rPr>
                <w:color w:val="auto"/>
                <w:szCs w:val="22"/>
                <w:highlight w:val="none"/>
              </w:rPr>
            </w:pPr>
          </w:p>
        </w:tc>
        <w:tc>
          <w:tcPr>
            <w:tcW w:w="851" w:type="dxa"/>
            <w:tcBorders>
              <w:top w:val="single" w:color="000000" w:sz="4" w:space="0"/>
              <w:left w:val="nil"/>
              <w:bottom w:val="single" w:color="000000" w:sz="4" w:space="0"/>
              <w:right w:val="single" w:color="auto" w:sz="4" w:space="0"/>
            </w:tcBorders>
            <w:noWrap w:val="0"/>
            <w:vAlign w:val="center"/>
          </w:tcPr>
          <w:p w14:paraId="53A10604">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14:paraId="4B1A4779">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合同额3%，最高不超过20万元，最低不低于1万元</w:t>
            </w:r>
          </w:p>
        </w:tc>
      </w:tr>
      <w:tr w14:paraId="3CBD9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7A2B59DE">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5515FE4C">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7E8D1152">
            <w:pPr>
              <w:rPr>
                <w:color w:val="auto"/>
                <w:szCs w:val="22"/>
                <w:highlight w:val="none"/>
              </w:rPr>
            </w:pPr>
          </w:p>
        </w:tc>
        <w:tc>
          <w:tcPr>
            <w:tcW w:w="851" w:type="dxa"/>
            <w:tcBorders>
              <w:top w:val="single" w:color="000000" w:sz="4" w:space="0"/>
              <w:left w:val="nil"/>
              <w:bottom w:val="single" w:color="auto" w:sz="4" w:space="0"/>
              <w:right w:val="single" w:color="auto" w:sz="4" w:space="0"/>
            </w:tcBorders>
            <w:noWrap w:val="0"/>
            <w:vAlign w:val="center"/>
          </w:tcPr>
          <w:p w14:paraId="1361D58E">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14:paraId="3A3ADA58">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合同额3%，最高不超过150万元，最低不低于10万元</w:t>
            </w:r>
          </w:p>
        </w:tc>
      </w:tr>
      <w:tr w14:paraId="53FD4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645" w:type="dxa"/>
            <w:vMerge w:val="restart"/>
            <w:tcBorders>
              <w:top w:val="nil"/>
              <w:left w:val="single" w:color="auto" w:sz="4" w:space="0"/>
              <w:bottom w:val="single" w:color="auto" w:sz="4" w:space="0"/>
              <w:right w:val="single" w:color="auto" w:sz="4" w:space="0"/>
            </w:tcBorders>
            <w:noWrap w:val="0"/>
            <w:vAlign w:val="center"/>
          </w:tcPr>
          <w:p w14:paraId="7F2D7608">
            <w:pPr>
              <w:jc w:val="center"/>
              <w:rPr>
                <w:rFonts w:hint="eastAsia" w:ascii="宋体" w:hAnsi="宋体" w:cs="Calibri"/>
                <w:color w:val="auto"/>
                <w:highlight w:val="none"/>
              </w:rPr>
            </w:pPr>
            <w:r>
              <w:rPr>
                <w:rFonts w:hint="eastAsia" w:ascii="宋体" w:hAnsi="宋体" w:cs="宋体"/>
                <w:color w:val="auto"/>
                <w:szCs w:val="21"/>
                <w:highlight w:val="none"/>
                <w:lang w:bidi="ar"/>
              </w:rPr>
              <w:t>2</w:t>
            </w:r>
          </w:p>
        </w:tc>
        <w:tc>
          <w:tcPr>
            <w:tcW w:w="587" w:type="dxa"/>
            <w:vMerge w:val="restart"/>
            <w:tcBorders>
              <w:top w:val="nil"/>
              <w:left w:val="nil"/>
              <w:bottom w:val="single" w:color="auto" w:sz="4" w:space="0"/>
              <w:right w:val="single" w:color="auto" w:sz="4" w:space="0"/>
            </w:tcBorders>
            <w:noWrap w:val="0"/>
            <w:vAlign w:val="center"/>
          </w:tcPr>
          <w:p w14:paraId="50FD198B">
            <w:pPr>
              <w:jc w:val="center"/>
              <w:rPr>
                <w:rFonts w:hint="eastAsia" w:ascii="宋体" w:hAnsi="宋体" w:cs="Calibri"/>
                <w:color w:val="auto"/>
                <w:highlight w:val="none"/>
              </w:rPr>
            </w:pPr>
            <w:r>
              <w:rPr>
                <w:rFonts w:hint="eastAsia" w:ascii="宋体" w:hAnsi="宋体" w:cs="宋体"/>
                <w:color w:val="auto"/>
                <w:szCs w:val="21"/>
                <w:highlight w:val="none"/>
                <w:lang w:bidi="ar"/>
              </w:rPr>
              <w:t>省部级</w:t>
            </w:r>
          </w:p>
        </w:tc>
        <w:tc>
          <w:tcPr>
            <w:tcW w:w="1820" w:type="dxa"/>
            <w:gridSpan w:val="2"/>
            <w:vMerge w:val="restart"/>
            <w:tcBorders>
              <w:top w:val="nil"/>
              <w:left w:val="nil"/>
              <w:bottom w:val="single" w:color="auto" w:sz="4" w:space="0"/>
              <w:right w:val="single" w:color="auto" w:sz="4" w:space="0"/>
            </w:tcBorders>
            <w:noWrap w:val="0"/>
            <w:vAlign w:val="center"/>
          </w:tcPr>
          <w:p w14:paraId="6F87070F">
            <w:pPr>
              <w:jc w:val="center"/>
              <w:rPr>
                <w:rFonts w:hint="eastAsia" w:ascii="宋体" w:hAnsi="宋体" w:cs="Calibri"/>
                <w:color w:val="auto"/>
                <w:highlight w:val="none"/>
              </w:rPr>
            </w:pPr>
            <w:r>
              <w:rPr>
                <w:rFonts w:hint="eastAsia" w:ascii="宋体" w:hAnsi="宋体" w:cs="宋体"/>
                <w:color w:val="auto"/>
                <w:szCs w:val="21"/>
                <w:highlight w:val="none"/>
                <w:lang w:bidi="ar"/>
              </w:rPr>
              <w:t>中国电力</w:t>
            </w:r>
          </w:p>
          <w:p w14:paraId="71F53BFD">
            <w:pPr>
              <w:jc w:val="center"/>
              <w:rPr>
                <w:rFonts w:hint="eastAsia" w:ascii="宋体" w:hAnsi="宋体" w:cs="Calibri"/>
                <w:color w:val="auto"/>
                <w:highlight w:val="none"/>
              </w:rPr>
            </w:pPr>
            <w:r>
              <w:rPr>
                <w:rFonts w:hint="eastAsia" w:ascii="宋体" w:hAnsi="宋体" w:cs="宋体"/>
                <w:color w:val="auto"/>
                <w:szCs w:val="21"/>
                <w:highlight w:val="none"/>
                <w:lang w:bidi="ar"/>
              </w:rPr>
              <w:t>优质工程奖</w:t>
            </w:r>
          </w:p>
        </w:tc>
        <w:tc>
          <w:tcPr>
            <w:tcW w:w="851" w:type="dxa"/>
            <w:tcBorders>
              <w:top w:val="single" w:color="auto" w:sz="4" w:space="0"/>
              <w:left w:val="nil"/>
              <w:bottom w:val="single" w:color="000000" w:sz="4" w:space="0"/>
              <w:right w:val="single" w:color="auto" w:sz="4" w:space="0"/>
            </w:tcBorders>
            <w:noWrap w:val="0"/>
            <w:vAlign w:val="center"/>
          </w:tcPr>
          <w:p w14:paraId="031E2C1D">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14:paraId="56333ECB">
            <w:pPr>
              <w:jc w:val="left"/>
              <w:rPr>
                <w:rFonts w:hint="eastAsia" w:ascii="宋体" w:hAnsi="宋体" w:cs="Calibri"/>
                <w:color w:val="auto"/>
                <w:highlight w:val="none"/>
              </w:rPr>
            </w:pPr>
            <w:r>
              <w:rPr>
                <w:rFonts w:hint="eastAsia" w:ascii="宋体" w:hAnsi="宋体" w:cs="宋体"/>
                <w:color w:val="auto"/>
                <w:szCs w:val="21"/>
                <w:highlight w:val="none"/>
                <w:lang w:bidi="ar"/>
              </w:rPr>
              <w:t>合同额2%，最高不超过30万元，最低不低于1万元</w:t>
            </w:r>
          </w:p>
        </w:tc>
      </w:tr>
      <w:tr w14:paraId="7DEA0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1434E47B">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0D6E367D">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0679A120">
            <w:pPr>
              <w:rPr>
                <w:color w:val="auto"/>
                <w:szCs w:val="22"/>
                <w:highlight w:val="none"/>
              </w:rPr>
            </w:pPr>
          </w:p>
        </w:tc>
        <w:tc>
          <w:tcPr>
            <w:tcW w:w="851" w:type="dxa"/>
            <w:tcBorders>
              <w:top w:val="single" w:color="000000" w:sz="4" w:space="0"/>
              <w:left w:val="nil"/>
              <w:bottom w:val="single" w:color="000000" w:sz="4" w:space="0"/>
              <w:right w:val="single" w:color="auto" w:sz="4" w:space="0"/>
            </w:tcBorders>
            <w:noWrap w:val="0"/>
            <w:vAlign w:val="center"/>
          </w:tcPr>
          <w:p w14:paraId="14382469">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14:paraId="11F5CA1D">
            <w:pPr>
              <w:jc w:val="left"/>
              <w:rPr>
                <w:rFonts w:hint="eastAsia" w:ascii="宋体" w:hAnsi="宋体" w:cs="Calibri"/>
                <w:color w:val="auto"/>
                <w:highlight w:val="none"/>
              </w:rPr>
            </w:pPr>
            <w:r>
              <w:rPr>
                <w:rFonts w:hint="eastAsia" w:ascii="宋体" w:hAnsi="宋体" w:cs="宋体"/>
                <w:color w:val="auto"/>
                <w:szCs w:val="21"/>
                <w:highlight w:val="none"/>
                <w:lang w:bidi="ar"/>
              </w:rPr>
              <w:t>合同额2%，最高不超过15万元，最低不低于0.5万元</w:t>
            </w:r>
          </w:p>
        </w:tc>
      </w:tr>
      <w:tr w14:paraId="576CD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3D843979">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214932CA">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10DE1DA9">
            <w:pPr>
              <w:rPr>
                <w:color w:val="auto"/>
                <w:szCs w:val="22"/>
                <w:highlight w:val="none"/>
              </w:rPr>
            </w:pPr>
          </w:p>
        </w:tc>
        <w:tc>
          <w:tcPr>
            <w:tcW w:w="851" w:type="dxa"/>
            <w:tcBorders>
              <w:top w:val="single" w:color="000000" w:sz="4" w:space="0"/>
              <w:left w:val="nil"/>
              <w:bottom w:val="single" w:color="auto" w:sz="4" w:space="0"/>
              <w:right w:val="single" w:color="auto" w:sz="4" w:space="0"/>
            </w:tcBorders>
            <w:noWrap w:val="0"/>
            <w:vAlign w:val="center"/>
          </w:tcPr>
          <w:p w14:paraId="7F84D02F">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auto" w:sz="4" w:space="0"/>
              <w:right w:val="single" w:color="auto" w:sz="4" w:space="0"/>
            </w:tcBorders>
            <w:noWrap w:val="0"/>
            <w:vAlign w:val="center"/>
          </w:tcPr>
          <w:p w14:paraId="023C4372">
            <w:pPr>
              <w:jc w:val="left"/>
              <w:rPr>
                <w:rFonts w:hint="eastAsia" w:ascii="宋体" w:hAnsi="宋体" w:cs="Calibri"/>
                <w:color w:val="auto"/>
                <w:highlight w:val="none"/>
              </w:rPr>
            </w:pPr>
            <w:r>
              <w:rPr>
                <w:rFonts w:hint="eastAsia" w:ascii="宋体" w:hAnsi="宋体" w:cs="宋体"/>
                <w:color w:val="auto"/>
                <w:szCs w:val="21"/>
                <w:highlight w:val="none"/>
                <w:lang w:bidi="ar"/>
              </w:rPr>
              <w:t>合同额2%，最高不超过100万元，最低不低于5万元</w:t>
            </w:r>
          </w:p>
        </w:tc>
      </w:tr>
      <w:tr w14:paraId="7CE9A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645" w:type="dxa"/>
            <w:vMerge w:val="restart"/>
            <w:tcBorders>
              <w:top w:val="nil"/>
              <w:left w:val="single" w:color="auto" w:sz="4" w:space="0"/>
              <w:bottom w:val="single" w:color="auto" w:sz="4" w:space="0"/>
              <w:right w:val="single" w:color="auto" w:sz="4" w:space="0"/>
            </w:tcBorders>
            <w:noWrap w:val="0"/>
            <w:vAlign w:val="center"/>
          </w:tcPr>
          <w:p w14:paraId="25E8753F">
            <w:pPr>
              <w:jc w:val="center"/>
              <w:rPr>
                <w:rFonts w:hint="eastAsia" w:ascii="宋体" w:hAnsi="宋体" w:cs="Calibri"/>
                <w:color w:val="auto"/>
                <w:highlight w:val="none"/>
              </w:rPr>
            </w:pPr>
            <w:r>
              <w:rPr>
                <w:rFonts w:hint="eastAsia" w:ascii="宋体" w:hAnsi="宋体" w:cs="宋体"/>
                <w:color w:val="auto"/>
                <w:szCs w:val="21"/>
                <w:highlight w:val="none"/>
                <w:lang w:bidi="ar"/>
              </w:rPr>
              <w:t>3</w:t>
            </w:r>
          </w:p>
        </w:tc>
        <w:tc>
          <w:tcPr>
            <w:tcW w:w="587" w:type="dxa"/>
            <w:vMerge w:val="restart"/>
            <w:tcBorders>
              <w:top w:val="nil"/>
              <w:left w:val="nil"/>
              <w:bottom w:val="single" w:color="auto" w:sz="4" w:space="0"/>
              <w:right w:val="single" w:color="auto" w:sz="4" w:space="0"/>
            </w:tcBorders>
            <w:noWrap w:val="0"/>
            <w:vAlign w:val="center"/>
          </w:tcPr>
          <w:p w14:paraId="187CDADB">
            <w:pPr>
              <w:jc w:val="center"/>
              <w:rPr>
                <w:rFonts w:hint="eastAsia" w:ascii="宋体" w:hAnsi="宋体" w:cs="Calibri"/>
                <w:color w:val="auto"/>
                <w:highlight w:val="none"/>
              </w:rPr>
            </w:pPr>
            <w:r>
              <w:rPr>
                <w:rFonts w:hint="eastAsia" w:ascii="宋体" w:hAnsi="宋体" w:cs="宋体"/>
                <w:color w:val="auto"/>
                <w:szCs w:val="21"/>
                <w:highlight w:val="none"/>
                <w:lang w:bidi="ar"/>
              </w:rPr>
              <w:t>网公司级</w:t>
            </w:r>
          </w:p>
        </w:tc>
        <w:tc>
          <w:tcPr>
            <w:tcW w:w="1820" w:type="dxa"/>
            <w:gridSpan w:val="2"/>
            <w:vMerge w:val="restart"/>
            <w:tcBorders>
              <w:top w:val="nil"/>
              <w:left w:val="nil"/>
              <w:bottom w:val="single" w:color="auto" w:sz="4" w:space="0"/>
              <w:right w:val="single" w:color="auto" w:sz="4" w:space="0"/>
            </w:tcBorders>
            <w:noWrap w:val="0"/>
            <w:vAlign w:val="center"/>
          </w:tcPr>
          <w:p w14:paraId="3309279C">
            <w:pPr>
              <w:jc w:val="center"/>
              <w:rPr>
                <w:rFonts w:hint="eastAsia" w:ascii="宋体" w:hAnsi="宋体" w:cs="Calibri"/>
                <w:color w:val="auto"/>
                <w:highlight w:val="none"/>
              </w:rPr>
            </w:pPr>
            <w:r>
              <w:rPr>
                <w:rFonts w:hint="eastAsia" w:ascii="宋体" w:hAnsi="宋体" w:cs="宋体"/>
                <w:color w:val="auto"/>
                <w:szCs w:val="21"/>
                <w:highlight w:val="none"/>
                <w:lang w:bidi="ar"/>
              </w:rPr>
              <w:t>南方电网公司</w:t>
            </w:r>
          </w:p>
          <w:p w14:paraId="0209EE9D">
            <w:pPr>
              <w:jc w:val="center"/>
              <w:rPr>
                <w:rFonts w:hint="eastAsia" w:ascii="宋体" w:hAnsi="宋体" w:cs="Calibri"/>
                <w:color w:val="auto"/>
                <w:highlight w:val="none"/>
              </w:rPr>
            </w:pPr>
            <w:r>
              <w:rPr>
                <w:rFonts w:hint="eastAsia" w:ascii="宋体" w:hAnsi="宋体" w:cs="宋体"/>
                <w:color w:val="auto"/>
                <w:szCs w:val="21"/>
                <w:highlight w:val="none"/>
                <w:lang w:bidi="ar"/>
              </w:rPr>
              <w:t>优质工程奖</w:t>
            </w:r>
          </w:p>
        </w:tc>
        <w:tc>
          <w:tcPr>
            <w:tcW w:w="851" w:type="dxa"/>
            <w:tcBorders>
              <w:top w:val="single" w:color="auto" w:sz="4" w:space="0"/>
              <w:left w:val="nil"/>
              <w:bottom w:val="single" w:color="000000" w:sz="4" w:space="0"/>
              <w:right w:val="single" w:color="auto" w:sz="4" w:space="0"/>
            </w:tcBorders>
            <w:noWrap w:val="0"/>
            <w:vAlign w:val="center"/>
          </w:tcPr>
          <w:p w14:paraId="77DE4C29">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14:paraId="52007F0A">
            <w:pPr>
              <w:jc w:val="left"/>
              <w:rPr>
                <w:rFonts w:hint="eastAsia" w:ascii="宋体" w:hAnsi="宋体" w:cs="Calibri"/>
                <w:color w:val="auto"/>
                <w:highlight w:val="none"/>
              </w:rPr>
            </w:pPr>
            <w:r>
              <w:rPr>
                <w:rFonts w:hint="eastAsia" w:ascii="宋体" w:hAnsi="宋体" w:cs="宋体"/>
                <w:color w:val="auto"/>
                <w:szCs w:val="21"/>
                <w:highlight w:val="none"/>
                <w:lang w:bidi="ar"/>
              </w:rPr>
              <w:t>合同额1.5%，最高不超过25万元，最低不低于0.5万元</w:t>
            </w:r>
          </w:p>
        </w:tc>
      </w:tr>
      <w:tr w14:paraId="3FCCE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7469AED1">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3BA2CACF">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140CE6C5">
            <w:pPr>
              <w:rPr>
                <w:color w:val="auto"/>
                <w:szCs w:val="22"/>
                <w:highlight w:val="none"/>
              </w:rPr>
            </w:pPr>
          </w:p>
        </w:tc>
        <w:tc>
          <w:tcPr>
            <w:tcW w:w="851" w:type="dxa"/>
            <w:tcBorders>
              <w:top w:val="single" w:color="000000" w:sz="4" w:space="0"/>
              <w:left w:val="nil"/>
              <w:bottom w:val="single" w:color="000000" w:sz="4" w:space="0"/>
              <w:right w:val="single" w:color="auto" w:sz="4" w:space="0"/>
            </w:tcBorders>
            <w:noWrap w:val="0"/>
            <w:vAlign w:val="center"/>
          </w:tcPr>
          <w:p w14:paraId="4C6F8A59">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14:paraId="514A09D3">
            <w:pPr>
              <w:jc w:val="left"/>
              <w:rPr>
                <w:rFonts w:hint="eastAsia" w:ascii="宋体" w:hAnsi="宋体" w:cs="Calibri"/>
                <w:color w:val="auto"/>
                <w:highlight w:val="none"/>
              </w:rPr>
            </w:pPr>
            <w:r>
              <w:rPr>
                <w:rFonts w:hint="eastAsia" w:ascii="宋体" w:hAnsi="宋体" w:cs="宋体"/>
                <w:color w:val="auto"/>
                <w:szCs w:val="21"/>
                <w:highlight w:val="none"/>
                <w:lang w:bidi="ar"/>
              </w:rPr>
              <w:t>合同额1.5%，最高不超过10万元，最低不低于0.2万元</w:t>
            </w:r>
          </w:p>
        </w:tc>
      </w:tr>
      <w:tr w14:paraId="3D2AD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39036CF3">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0FE76F4F">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18EAE02C">
            <w:pPr>
              <w:rPr>
                <w:color w:val="auto"/>
                <w:szCs w:val="22"/>
                <w:highlight w:val="none"/>
              </w:rPr>
            </w:pPr>
          </w:p>
        </w:tc>
        <w:tc>
          <w:tcPr>
            <w:tcW w:w="851" w:type="dxa"/>
            <w:tcBorders>
              <w:top w:val="single" w:color="000000" w:sz="4" w:space="0"/>
              <w:left w:val="nil"/>
              <w:bottom w:val="single" w:color="auto" w:sz="4" w:space="0"/>
              <w:right w:val="single" w:color="auto" w:sz="4" w:space="0"/>
            </w:tcBorders>
            <w:noWrap w:val="0"/>
            <w:vAlign w:val="center"/>
          </w:tcPr>
          <w:p w14:paraId="2B4233D7">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auto" w:sz="4" w:space="0"/>
              <w:right w:val="single" w:color="auto" w:sz="4" w:space="0"/>
            </w:tcBorders>
            <w:noWrap w:val="0"/>
            <w:vAlign w:val="center"/>
          </w:tcPr>
          <w:p w14:paraId="27E1BE7B">
            <w:pPr>
              <w:jc w:val="left"/>
              <w:rPr>
                <w:rFonts w:hint="eastAsia" w:ascii="宋体" w:hAnsi="宋体" w:cs="Calibri"/>
                <w:color w:val="auto"/>
                <w:highlight w:val="none"/>
              </w:rPr>
            </w:pPr>
            <w:r>
              <w:rPr>
                <w:rFonts w:hint="eastAsia" w:ascii="宋体" w:hAnsi="宋体" w:cs="宋体"/>
                <w:color w:val="auto"/>
                <w:szCs w:val="21"/>
                <w:highlight w:val="none"/>
                <w:lang w:bidi="ar"/>
              </w:rPr>
              <w:t>合同额1.5%，最高不超过75万元，最低不低于2万元</w:t>
            </w:r>
          </w:p>
        </w:tc>
      </w:tr>
      <w:tr w14:paraId="2B966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restart"/>
            <w:tcBorders>
              <w:top w:val="nil"/>
              <w:left w:val="single" w:color="auto" w:sz="4" w:space="0"/>
              <w:bottom w:val="single" w:color="auto" w:sz="4" w:space="0"/>
              <w:right w:val="single" w:color="auto" w:sz="4" w:space="0"/>
            </w:tcBorders>
            <w:noWrap w:val="0"/>
            <w:vAlign w:val="center"/>
          </w:tcPr>
          <w:p w14:paraId="3B8D2167">
            <w:pPr>
              <w:jc w:val="center"/>
              <w:rPr>
                <w:rFonts w:hint="eastAsia" w:ascii="宋体" w:hAnsi="宋体" w:cs="Calibri"/>
                <w:color w:val="auto"/>
                <w:highlight w:val="none"/>
              </w:rPr>
            </w:pPr>
            <w:r>
              <w:rPr>
                <w:rFonts w:hint="eastAsia" w:ascii="宋体" w:hAnsi="宋体" w:cs="宋体"/>
                <w:color w:val="auto"/>
                <w:szCs w:val="21"/>
                <w:highlight w:val="none"/>
                <w:lang w:bidi="ar"/>
              </w:rPr>
              <w:t>4</w:t>
            </w:r>
          </w:p>
        </w:tc>
        <w:tc>
          <w:tcPr>
            <w:tcW w:w="587" w:type="dxa"/>
            <w:vMerge w:val="restart"/>
            <w:tcBorders>
              <w:top w:val="nil"/>
              <w:left w:val="nil"/>
              <w:bottom w:val="single" w:color="auto" w:sz="4" w:space="0"/>
              <w:right w:val="single" w:color="auto" w:sz="4" w:space="0"/>
            </w:tcBorders>
            <w:noWrap w:val="0"/>
            <w:vAlign w:val="center"/>
          </w:tcPr>
          <w:p w14:paraId="5D40BF5A">
            <w:pPr>
              <w:jc w:val="center"/>
              <w:rPr>
                <w:rFonts w:hint="eastAsia" w:ascii="宋体" w:hAnsi="宋体" w:cs="Calibri"/>
                <w:color w:val="auto"/>
                <w:kern w:val="0"/>
                <w:highlight w:val="none"/>
              </w:rPr>
            </w:pPr>
            <w:r>
              <w:rPr>
                <w:rFonts w:hint="eastAsia" w:ascii="宋体" w:hAnsi="宋体" w:cs="宋体"/>
                <w:color w:val="auto"/>
                <w:sz w:val="24"/>
                <w:szCs w:val="24"/>
                <w:highlight w:val="none"/>
                <w:lang w:bidi="ar"/>
              </w:rPr>
              <w:t>分子公司级及省级行业协会</w:t>
            </w:r>
          </w:p>
        </w:tc>
        <w:tc>
          <w:tcPr>
            <w:tcW w:w="600" w:type="dxa"/>
            <w:vMerge w:val="restart"/>
            <w:tcBorders>
              <w:top w:val="nil"/>
              <w:left w:val="nil"/>
              <w:bottom w:val="single" w:color="auto" w:sz="4" w:space="0"/>
              <w:right w:val="single" w:color="auto" w:sz="4" w:space="0"/>
            </w:tcBorders>
            <w:noWrap w:val="0"/>
            <w:vAlign w:val="center"/>
          </w:tcPr>
          <w:p w14:paraId="530CC142">
            <w:pPr>
              <w:jc w:val="center"/>
              <w:rPr>
                <w:rFonts w:hint="eastAsia" w:ascii="宋体" w:hAnsi="宋体" w:cs="Calibri"/>
                <w:color w:val="auto"/>
                <w:highlight w:val="none"/>
              </w:rPr>
            </w:pPr>
            <w:r>
              <w:rPr>
                <w:rFonts w:hint="eastAsia" w:ascii="宋体" w:hAnsi="宋体" w:cs="宋体"/>
                <w:color w:val="auto"/>
                <w:szCs w:val="21"/>
                <w:highlight w:val="none"/>
                <w:lang w:bidi="ar"/>
              </w:rPr>
              <w:t>广州局</w:t>
            </w:r>
          </w:p>
          <w:p w14:paraId="3D99214F">
            <w:pPr>
              <w:jc w:val="center"/>
              <w:rPr>
                <w:rFonts w:hint="eastAsia" w:ascii="宋体" w:hAnsi="宋体" w:cs="Calibri"/>
                <w:color w:val="auto"/>
                <w:highlight w:val="none"/>
              </w:rPr>
            </w:pPr>
            <w:r>
              <w:rPr>
                <w:rFonts w:hint="eastAsia" w:ascii="宋体" w:hAnsi="宋体" w:cs="宋体"/>
                <w:color w:val="auto"/>
                <w:szCs w:val="21"/>
                <w:highlight w:val="none"/>
                <w:lang w:bidi="ar"/>
              </w:rPr>
              <w:t>优质工程奖</w:t>
            </w:r>
          </w:p>
        </w:tc>
        <w:tc>
          <w:tcPr>
            <w:tcW w:w="1220" w:type="dxa"/>
            <w:vMerge w:val="restart"/>
            <w:tcBorders>
              <w:top w:val="nil"/>
              <w:left w:val="nil"/>
              <w:bottom w:val="single" w:color="auto" w:sz="4" w:space="0"/>
              <w:right w:val="single" w:color="auto" w:sz="4" w:space="0"/>
            </w:tcBorders>
            <w:noWrap w:val="0"/>
            <w:vAlign w:val="center"/>
          </w:tcPr>
          <w:p w14:paraId="4DD3C79B">
            <w:pPr>
              <w:jc w:val="center"/>
              <w:rPr>
                <w:rFonts w:hint="eastAsia" w:ascii="宋体" w:hAnsi="宋体" w:cs="Calibri"/>
                <w:color w:val="auto"/>
                <w:highlight w:val="none"/>
              </w:rPr>
            </w:pPr>
            <w:r>
              <w:rPr>
                <w:rFonts w:hint="eastAsia" w:ascii="宋体" w:hAnsi="宋体" w:cs="宋体"/>
                <w:color w:val="auto"/>
                <w:szCs w:val="21"/>
                <w:highlight w:val="none"/>
                <w:lang w:bidi="ar"/>
              </w:rPr>
              <w:t>一等奖</w:t>
            </w:r>
          </w:p>
        </w:tc>
        <w:tc>
          <w:tcPr>
            <w:tcW w:w="851" w:type="dxa"/>
            <w:tcBorders>
              <w:top w:val="single" w:color="000000" w:sz="4" w:space="0"/>
              <w:left w:val="nil"/>
              <w:bottom w:val="single" w:color="auto" w:sz="4" w:space="0"/>
              <w:right w:val="single" w:color="auto" w:sz="4" w:space="0"/>
            </w:tcBorders>
            <w:noWrap w:val="0"/>
            <w:vAlign w:val="center"/>
          </w:tcPr>
          <w:p w14:paraId="0E2D9190">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14:paraId="7D1AD26C">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合同额1.2%，最高不超过6万元，最低不低于0.2万元</w:t>
            </w:r>
          </w:p>
        </w:tc>
      </w:tr>
      <w:tr w14:paraId="50D94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03EB5907">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78B304F8">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14:paraId="2223A4CC">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14:paraId="3ED561A0">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14:paraId="7B474F09">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14:paraId="663A2D58">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合同额1.2%，最高不超过3万元，最低不低于0.1万元</w:t>
            </w:r>
          </w:p>
        </w:tc>
      </w:tr>
      <w:tr w14:paraId="718F8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10480DF6">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4044DF09">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14:paraId="0549D916">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14:paraId="3E01F06C">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14:paraId="3379DB33">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14:paraId="1E22F46F">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合同额1.2%，最高不超过20万元，最低不低于1万元</w:t>
            </w:r>
          </w:p>
        </w:tc>
      </w:tr>
      <w:tr w14:paraId="50DD2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3536A658">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2FD516C7">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14:paraId="6495FD64">
            <w:pPr>
              <w:rPr>
                <w:color w:val="auto"/>
                <w:szCs w:val="22"/>
                <w:highlight w:val="none"/>
              </w:rPr>
            </w:pPr>
          </w:p>
        </w:tc>
        <w:tc>
          <w:tcPr>
            <w:tcW w:w="1220" w:type="dxa"/>
            <w:vMerge w:val="restart"/>
            <w:tcBorders>
              <w:top w:val="nil"/>
              <w:left w:val="nil"/>
              <w:bottom w:val="single" w:color="auto" w:sz="4" w:space="0"/>
              <w:right w:val="single" w:color="auto" w:sz="4" w:space="0"/>
            </w:tcBorders>
            <w:noWrap w:val="0"/>
            <w:vAlign w:val="center"/>
          </w:tcPr>
          <w:p w14:paraId="21CF16C5">
            <w:pPr>
              <w:jc w:val="center"/>
              <w:rPr>
                <w:rFonts w:hint="eastAsia" w:ascii="宋体" w:hAnsi="宋体" w:cs="Calibri"/>
                <w:color w:val="auto"/>
                <w:highlight w:val="none"/>
              </w:rPr>
            </w:pPr>
            <w:r>
              <w:rPr>
                <w:rFonts w:hint="eastAsia" w:ascii="宋体" w:hAnsi="宋体" w:cs="宋体"/>
                <w:color w:val="auto"/>
                <w:szCs w:val="21"/>
                <w:highlight w:val="none"/>
                <w:lang w:bidi="ar"/>
              </w:rPr>
              <w:t>二等奖</w:t>
            </w:r>
          </w:p>
        </w:tc>
        <w:tc>
          <w:tcPr>
            <w:tcW w:w="851" w:type="dxa"/>
            <w:tcBorders>
              <w:top w:val="single" w:color="auto" w:sz="4" w:space="0"/>
              <w:left w:val="nil"/>
              <w:bottom w:val="single" w:color="auto" w:sz="4" w:space="0"/>
              <w:right w:val="single" w:color="auto" w:sz="4" w:space="0"/>
            </w:tcBorders>
            <w:noWrap w:val="0"/>
            <w:vAlign w:val="center"/>
          </w:tcPr>
          <w:p w14:paraId="57F60597">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14:paraId="4C640854">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合同额1.1%，最高不超过4万元，最低不低于0.2万元</w:t>
            </w:r>
          </w:p>
        </w:tc>
      </w:tr>
      <w:tr w14:paraId="3D929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32742930">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26329C93">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14:paraId="546FCA50">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14:paraId="72DF63B8">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14:paraId="781F0063">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14:paraId="7726FB66">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合同额1.1%，最高不超过2万元，最低不低于0.1万元</w:t>
            </w:r>
          </w:p>
        </w:tc>
      </w:tr>
      <w:tr w14:paraId="2416F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578274C1">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1EDBEC79">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14:paraId="3457E275">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14:paraId="393E46E0">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14:paraId="424221C8">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14:paraId="31204FA1">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合同额1.1%，最高不超过15万元，最低不低于1万元</w:t>
            </w:r>
          </w:p>
        </w:tc>
      </w:tr>
      <w:tr w14:paraId="10D1B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5078D11C">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593682CA">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14:paraId="301E7E68">
            <w:pPr>
              <w:rPr>
                <w:color w:val="auto"/>
                <w:szCs w:val="22"/>
                <w:highlight w:val="none"/>
              </w:rPr>
            </w:pPr>
          </w:p>
        </w:tc>
        <w:tc>
          <w:tcPr>
            <w:tcW w:w="1220" w:type="dxa"/>
            <w:vMerge w:val="restart"/>
            <w:tcBorders>
              <w:top w:val="nil"/>
              <w:left w:val="nil"/>
              <w:bottom w:val="single" w:color="auto" w:sz="4" w:space="0"/>
              <w:right w:val="single" w:color="auto" w:sz="4" w:space="0"/>
            </w:tcBorders>
            <w:noWrap w:val="0"/>
            <w:vAlign w:val="center"/>
          </w:tcPr>
          <w:p w14:paraId="54383C19">
            <w:pPr>
              <w:jc w:val="center"/>
              <w:rPr>
                <w:rFonts w:hint="eastAsia" w:ascii="宋体" w:hAnsi="宋体" w:cs="Calibri"/>
                <w:color w:val="auto"/>
                <w:highlight w:val="none"/>
              </w:rPr>
            </w:pPr>
            <w:r>
              <w:rPr>
                <w:rFonts w:hint="eastAsia" w:ascii="宋体" w:hAnsi="宋体" w:cs="宋体"/>
                <w:color w:val="auto"/>
                <w:szCs w:val="21"/>
                <w:highlight w:val="none"/>
                <w:lang w:bidi="ar"/>
              </w:rPr>
              <w:t>三等奖</w:t>
            </w:r>
          </w:p>
        </w:tc>
        <w:tc>
          <w:tcPr>
            <w:tcW w:w="851" w:type="dxa"/>
            <w:tcBorders>
              <w:top w:val="single" w:color="auto" w:sz="4" w:space="0"/>
              <w:left w:val="nil"/>
              <w:bottom w:val="single" w:color="auto" w:sz="4" w:space="0"/>
              <w:right w:val="single" w:color="auto" w:sz="4" w:space="0"/>
            </w:tcBorders>
            <w:noWrap w:val="0"/>
            <w:vAlign w:val="center"/>
          </w:tcPr>
          <w:p w14:paraId="7C8F4C1E">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14:paraId="1740B443">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合同额1.0%，最高不超过2万元，最低不低于0.2万元</w:t>
            </w:r>
          </w:p>
        </w:tc>
      </w:tr>
      <w:tr w14:paraId="38052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28F5C014">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7EB036C0">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14:paraId="224A5BA0">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14:paraId="6F1F510A">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14:paraId="2C8BBBF7">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14:paraId="697C549A">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合同额1.0%，最高不超过1万元，最低不低于0.1万元</w:t>
            </w:r>
          </w:p>
        </w:tc>
      </w:tr>
      <w:tr w14:paraId="01BA0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5B1D0685">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70FCC9C9">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14:paraId="5DD4FD4B">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14:paraId="28F46721">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14:paraId="5515C336">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14:paraId="2BEFB7B2">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合同额1.0%，最高不超过8万元，最低不低于1万元</w:t>
            </w:r>
          </w:p>
        </w:tc>
      </w:tr>
      <w:tr w14:paraId="31DC1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5F32F48C">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08D62F0C">
            <w:pPr>
              <w:rPr>
                <w:color w:val="auto"/>
                <w:szCs w:val="22"/>
                <w:highlight w:val="none"/>
              </w:rPr>
            </w:pPr>
          </w:p>
        </w:tc>
        <w:tc>
          <w:tcPr>
            <w:tcW w:w="1820" w:type="dxa"/>
            <w:gridSpan w:val="2"/>
            <w:vMerge w:val="restart"/>
            <w:tcBorders>
              <w:top w:val="nil"/>
              <w:left w:val="nil"/>
              <w:bottom w:val="single" w:color="auto" w:sz="4" w:space="0"/>
              <w:right w:val="single" w:color="auto" w:sz="4" w:space="0"/>
            </w:tcBorders>
            <w:noWrap w:val="0"/>
            <w:vAlign w:val="center"/>
          </w:tcPr>
          <w:p w14:paraId="317F9BE2">
            <w:pPr>
              <w:jc w:val="center"/>
              <w:rPr>
                <w:rFonts w:hint="eastAsia" w:ascii="宋体" w:hAnsi="宋体" w:cs="Calibri"/>
                <w:color w:val="auto"/>
                <w:highlight w:val="none"/>
              </w:rPr>
            </w:pPr>
            <w:r>
              <w:rPr>
                <w:rFonts w:hint="eastAsia" w:ascii="宋体" w:hAnsi="宋体" w:cs="宋体"/>
                <w:color w:val="auto"/>
                <w:szCs w:val="21"/>
                <w:highlight w:val="none"/>
                <w:lang w:bidi="ar"/>
              </w:rPr>
              <w:t>省级行业协会</w:t>
            </w:r>
          </w:p>
          <w:p w14:paraId="7771FE5D">
            <w:pPr>
              <w:jc w:val="center"/>
              <w:rPr>
                <w:rFonts w:hint="eastAsia" w:ascii="宋体" w:hAnsi="宋体" w:cs="Calibri"/>
                <w:color w:val="auto"/>
                <w:highlight w:val="none"/>
              </w:rPr>
            </w:pPr>
            <w:r>
              <w:rPr>
                <w:rFonts w:hint="eastAsia" w:ascii="宋体" w:hAnsi="宋体" w:cs="宋体"/>
                <w:color w:val="auto"/>
                <w:szCs w:val="21"/>
                <w:highlight w:val="none"/>
                <w:lang w:bidi="ar"/>
              </w:rPr>
              <w:t>优质工程奖</w:t>
            </w:r>
          </w:p>
        </w:tc>
        <w:tc>
          <w:tcPr>
            <w:tcW w:w="851" w:type="dxa"/>
            <w:tcBorders>
              <w:top w:val="single" w:color="auto" w:sz="4" w:space="0"/>
              <w:left w:val="nil"/>
              <w:bottom w:val="single" w:color="auto" w:sz="4" w:space="0"/>
              <w:right w:val="single" w:color="auto" w:sz="4" w:space="0"/>
            </w:tcBorders>
            <w:noWrap w:val="0"/>
            <w:vAlign w:val="center"/>
          </w:tcPr>
          <w:p w14:paraId="4E96B5C2">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14:paraId="20ECCA13">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合同额1.2%，最高不超过6万元，最低不低于0.2万元</w:t>
            </w:r>
          </w:p>
        </w:tc>
      </w:tr>
      <w:tr w14:paraId="295AB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3713A042">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712C6B91">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2CB5EAD4">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14:paraId="109B3342">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auto" w:sz="4" w:space="0"/>
              <w:right w:val="single" w:color="auto" w:sz="4" w:space="0"/>
            </w:tcBorders>
            <w:noWrap w:val="0"/>
            <w:vAlign w:val="center"/>
          </w:tcPr>
          <w:p w14:paraId="5FFA3167">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合同额1.2%，最高不超过3万元，最低不低于0.1万元</w:t>
            </w:r>
          </w:p>
        </w:tc>
      </w:tr>
      <w:tr w14:paraId="11E2A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610B6858">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060B75ED">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380D699F">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14:paraId="44313F8F">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auto" w:sz="4" w:space="0"/>
              <w:left w:val="nil"/>
              <w:bottom w:val="single" w:color="auto" w:sz="4" w:space="0"/>
              <w:right w:val="single" w:color="auto" w:sz="4" w:space="0"/>
            </w:tcBorders>
            <w:noWrap w:val="0"/>
            <w:vAlign w:val="center"/>
          </w:tcPr>
          <w:p w14:paraId="3D1B151C">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合同额1.2%，最高不超过20万元，最低不低于1万元</w:t>
            </w:r>
          </w:p>
        </w:tc>
      </w:tr>
    </w:tbl>
    <w:p w14:paraId="004C5251">
      <w:pPr>
        <w:pStyle w:val="7"/>
        <w:widowControl w:val="0"/>
        <w:spacing w:after="0" w:afterAutospacing="0"/>
        <w:ind w:firstLine="420" w:firstLineChars="200"/>
        <w:jc w:val="both"/>
        <w:rPr>
          <w:rFonts w:hint="eastAsia"/>
          <w:color w:val="auto"/>
          <w:highlight w:val="none"/>
        </w:rPr>
      </w:pPr>
      <w:r>
        <w:rPr>
          <w:rFonts w:hint="eastAsia"/>
          <w:color w:val="auto"/>
          <w:kern w:val="2"/>
          <w:sz w:val="21"/>
          <w:szCs w:val="21"/>
          <w:highlight w:val="none"/>
          <w:lang w:bidi="ar"/>
        </w:rPr>
        <w:t>奖励办法：</w:t>
      </w:r>
    </w:p>
    <w:p w14:paraId="593B7913">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①优质工程奖励金需在奖项颁发之日起至项目整体结算前由工程承包商向建设单位提出申请，双方按原合同或本方案奖励标准签订补充合同条款确定奖励金，本补充协议签订后，发包人一次性支付全额奖励金给承包人。如工程承包商在项目整体结算前未提出奖励金申请或获奖证明在工程决算后颁发的，只对工程承包商进行通报表扬，不再颁发奖励金。</w:t>
      </w:r>
    </w:p>
    <w:p w14:paraId="7B6B36C3">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②工程合同按费率报价的，应由获奖工程的预算及合同投标报价费率计算对应“合同”金额，作为优质工程奖励金的计算基数。</w:t>
      </w:r>
    </w:p>
    <w:p w14:paraId="73E41A45">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③取得多个同等或不同级别优质工程奖项的工程，奖励金不重复计算，工程承包商只能按取得奖励金最高的奖项申报。</w:t>
      </w:r>
    </w:p>
    <w:p w14:paraId="6C8A0129">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④同一合同包含多个单项工程的，按取得优质工程奖的对应单项合同价格计算奖励金。</w:t>
      </w:r>
    </w:p>
    <w:p w14:paraId="1377B27F">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⑤同一获奖工程包括多个同类承包商的，只考虑对参与申报优质工程奖评选的承包商进行奖励，由建设单位审批奖励金申请。</w:t>
      </w:r>
    </w:p>
    <w:p w14:paraId="4A0362E8">
      <w:pPr>
        <w:widowControl/>
        <w:ind w:firstLine="420" w:firstLineChars="200"/>
        <w:jc w:val="left"/>
        <w:rPr>
          <w:rFonts w:hint="eastAsia" w:ascii="宋体" w:hAnsi="宋体"/>
          <w:color w:val="auto"/>
          <w:szCs w:val="21"/>
          <w:highlight w:val="none"/>
          <w:lang w:bidi="ar"/>
        </w:rPr>
      </w:pPr>
      <w:r>
        <w:rPr>
          <w:rFonts w:hint="eastAsia" w:ascii="宋体" w:hAnsi="宋体"/>
          <w:color w:val="auto"/>
          <w:szCs w:val="21"/>
          <w:highlight w:val="none"/>
          <w:lang w:bidi="ar"/>
        </w:rPr>
        <w:t>⑥申报奖项所产生的所有经费已包含在合同价中，不再额外计取。</w:t>
      </w:r>
    </w:p>
    <w:p w14:paraId="03FDEC1D">
      <w:pPr>
        <w:widowControl/>
        <w:ind w:firstLine="420" w:firstLineChars="200"/>
        <w:jc w:val="left"/>
        <w:rPr>
          <w:rFonts w:hint="eastAsia" w:ascii="宋体" w:hAnsi="宋体"/>
          <w:color w:val="auto"/>
          <w:szCs w:val="21"/>
          <w:highlight w:val="none"/>
          <w:lang w:bidi="ar"/>
        </w:rPr>
      </w:pPr>
      <w:r>
        <w:rPr>
          <w:rFonts w:hint="eastAsia"/>
          <w:color w:val="auto"/>
          <w:szCs w:val="21"/>
          <w:highlight w:val="none"/>
          <w:lang w:val="zh-CN"/>
        </w:rPr>
        <w:t>⑦以联合体方式组成的中标人，可以以联合体组合或者其中一方独立的名义申请奖励金，奖励金按申请单位所对应的合同金额作为计算基数计取。</w:t>
      </w:r>
    </w:p>
    <w:p w14:paraId="6F85FE1C">
      <w:pPr>
        <w:pStyle w:val="11"/>
        <w:spacing w:after="0"/>
        <w:ind w:left="0" w:leftChars="0" w:firstLine="422" w:firstLineChars="200"/>
        <w:jc w:val="both"/>
        <w:rPr>
          <w:rFonts w:hint="eastAsia" w:ascii="宋体" w:eastAsia="宋体"/>
          <w:color w:val="auto"/>
          <w:szCs w:val="24"/>
          <w:highlight w:val="none"/>
          <w:shd w:val="clear" w:color="auto" w:fill="auto"/>
          <w:lang w:val="en-US" w:eastAsia="zh-CN"/>
        </w:rPr>
      </w:pPr>
      <w:r>
        <w:rPr>
          <w:rFonts w:hint="eastAsia" w:ascii="宋体" w:eastAsia="宋体"/>
          <w:color w:val="auto"/>
          <w:szCs w:val="24"/>
          <w:highlight w:val="none"/>
          <w:shd w:val="clear" w:color="auto" w:fill="auto"/>
          <w:lang w:val="en-US" w:eastAsia="zh-CN"/>
        </w:rPr>
        <w:t>4.承包人</w:t>
      </w:r>
    </w:p>
    <w:p w14:paraId="0E64DC5F">
      <w:pPr>
        <w:pStyle w:val="11"/>
        <w:spacing w:after="0"/>
        <w:ind w:left="0" w:leftChars="0" w:firstLine="420" w:firstLineChars="200"/>
        <w:jc w:val="both"/>
        <w:rPr>
          <w:rFonts w:hint="eastAsia" w:ascii="宋体" w:eastAsia="宋体"/>
          <w:b w:val="0"/>
          <w:bCs/>
          <w:color w:val="auto"/>
          <w:szCs w:val="24"/>
          <w:highlight w:val="none"/>
          <w:shd w:val="clear" w:color="auto" w:fill="auto"/>
          <w:lang w:val="en-US" w:eastAsia="zh-CN"/>
        </w:rPr>
      </w:pPr>
      <w:r>
        <w:rPr>
          <w:rFonts w:hint="eastAsia" w:ascii="宋体" w:eastAsia="宋体"/>
          <w:b w:val="0"/>
          <w:bCs/>
          <w:color w:val="auto"/>
          <w:szCs w:val="24"/>
          <w:highlight w:val="none"/>
          <w:shd w:val="clear" w:color="auto" w:fill="auto"/>
          <w:lang w:val="en-US" w:eastAsia="zh-CN"/>
        </w:rPr>
        <w:t>4.1 承包人的一般义务</w:t>
      </w:r>
    </w:p>
    <w:p w14:paraId="295BA2FC">
      <w:pPr>
        <w:pStyle w:val="11"/>
        <w:spacing w:after="0"/>
        <w:ind w:left="0" w:leftChars="0" w:firstLine="422" w:firstLineChars="200"/>
        <w:rPr>
          <w:rFonts w:hint="eastAsia" w:ascii="宋体" w:hAnsi="宋体"/>
          <w:b/>
          <w:bCs w:val="0"/>
          <w:color w:val="auto"/>
          <w:szCs w:val="21"/>
          <w:highlight w:val="none"/>
          <w:shd w:val="clear" w:color="auto" w:fill="auto"/>
          <w:lang w:val="en-US" w:eastAsia="zh-CN"/>
        </w:rPr>
      </w:pPr>
      <w:r>
        <w:rPr>
          <w:rFonts w:hint="eastAsia" w:ascii="宋体"/>
          <w:b/>
          <w:bCs w:val="0"/>
          <w:color w:val="auto"/>
          <w:szCs w:val="21"/>
          <w:highlight w:val="none"/>
          <w:shd w:val="clear" w:color="auto" w:fill="auto"/>
          <w:lang w:val="en-US" w:eastAsia="zh-CN"/>
        </w:rPr>
        <w:t>增加</w:t>
      </w:r>
      <w:r>
        <w:rPr>
          <w:rFonts w:hint="eastAsia" w:ascii="宋体" w:hAnsi="宋体"/>
          <w:b/>
          <w:bCs w:val="0"/>
          <w:color w:val="auto"/>
          <w:szCs w:val="21"/>
          <w:highlight w:val="none"/>
          <w:shd w:val="clear" w:color="auto" w:fill="auto"/>
          <w:lang w:val="en-US" w:eastAsia="zh-CN"/>
        </w:rPr>
        <w:t>以下内容到4.1款：</w:t>
      </w:r>
    </w:p>
    <w:p w14:paraId="0159E178">
      <w:pPr>
        <w:pStyle w:val="11"/>
        <w:spacing w:after="0"/>
        <w:ind w:left="0" w:leftChars="0" w:firstLine="422" w:firstLineChars="200"/>
        <w:rPr>
          <w:rFonts w:hint="eastAsia" w:ascii="宋体"/>
          <w:color w:val="auto"/>
          <w:highlight w:val="none"/>
        </w:rPr>
      </w:pPr>
      <w:r>
        <w:rPr>
          <w:rFonts w:hint="eastAsia" w:ascii="宋体"/>
          <w:color w:val="auto"/>
          <w:highlight w:val="none"/>
        </w:rPr>
        <w:t>（18）其他：</w:t>
      </w:r>
    </w:p>
    <w:p w14:paraId="3ACEE794">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1）投标人自行调查设备、材料、机具等市场情况，并自行承担相应的市场风险责任；</w:t>
      </w:r>
    </w:p>
    <w:p w14:paraId="39D34C8D">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2）按南网项目管理和质量实体样板要求所需相应的措施费；</w:t>
      </w:r>
    </w:p>
    <w:p w14:paraId="752301F0">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3）全面开展标准建设工作；</w:t>
      </w:r>
    </w:p>
    <w:p w14:paraId="10393544">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4）道路通行及维护、场地移交、场地物资堆放及二次倒运等工作；</w:t>
      </w:r>
    </w:p>
    <w:p w14:paraId="41EA5E7F">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5）施工期间国家政策调整（含行业计价标准调整）和物价指数变化的影响；</w:t>
      </w:r>
    </w:p>
    <w:p w14:paraId="11DEAEF9">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6）施工期间做好水土保持工作，负责施工废弃物、噪音及扬尘污染、道路通行及损毁修补、强夯、爆破等对周边居民生产生活及建构筑物的影响处理，负责协调和处理此类施工问题造成的纠纷、阻工等，及因此产生的费用（含地方政府向承包人收取的相关费用）。</w:t>
      </w:r>
    </w:p>
    <w:p w14:paraId="40270F78">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7）施工现场照明，采用节能照明灯具的比率大于80％；</w:t>
      </w:r>
    </w:p>
    <w:p w14:paraId="02DB67B4">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8）现场办公临建建设，承包人支付有关的用水、用电、通信、排污等费用，并负责维护工作，并在建设单位要求时负责拆除、及恢复场地；</w:t>
      </w:r>
    </w:p>
    <w:p w14:paraId="0EDA858F">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9）负责投产或移交前工程实体等相关维护工作；</w:t>
      </w:r>
    </w:p>
    <w:p w14:paraId="03C4FDDE">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 xml:space="preserve">10）配合建设单位各类检查、检测、监测、验收、评审、协调、评优、安风体系建设等工作； </w:t>
      </w:r>
    </w:p>
    <w:p w14:paraId="260884F9">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11）竣工验收前办理并提供相关行政主管部门出具的无欠薪证明、无重大安全事故证明等材料；</w:t>
      </w:r>
    </w:p>
    <w:p w14:paraId="152BE1F8">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12）自行考虑冬、雨季施工措施费用和影响；</w:t>
      </w:r>
    </w:p>
    <w:p w14:paraId="400D4784">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13）及时应用和填报南网基建一体化信息系统；</w:t>
      </w:r>
    </w:p>
    <w:p w14:paraId="05690211">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14）其他图纸未列项或描述，但根据招标文件和合同要求应由投标人负责的工作。</w:t>
      </w:r>
    </w:p>
    <w:p w14:paraId="390D4046">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15）按照《保障农民工工资支付条例》要求及国家、当地政府或建设单位最新的农民工工资最新管理要求，足额支付农民工工资。</w:t>
      </w:r>
    </w:p>
    <w:p w14:paraId="0F56D1BE">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16）承包人的人员需按照建设工程实名制要求进行实名制登记，未登记人员不得进入项目现场施工。</w:t>
      </w:r>
    </w:p>
    <w:p w14:paraId="5CD802E7">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17）承包人应在开工前设立农民工工资专用账户，账户报监理工程师、业主项目部备案。</w:t>
      </w:r>
    </w:p>
    <w:p w14:paraId="0B9C3152">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18）承包人应采取工资支付公示签字或其他确认方式，向农民工公示工资支付情况并双方确认。</w:t>
      </w:r>
    </w:p>
    <w:p w14:paraId="5F339A7B">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19）承包人应在工程竣工后，进行结清务工人员工资公示，公示结果报监理工程师、业主项目部备案。</w:t>
      </w:r>
    </w:p>
    <w:p w14:paraId="28410878">
      <w:pPr>
        <w:pStyle w:val="11"/>
        <w:spacing w:after="0"/>
        <w:ind w:left="0" w:leftChars="0" w:firstLine="420" w:firstLineChars="200"/>
        <w:rPr>
          <w:rFonts w:hint="default" w:ascii="宋体" w:eastAsia="宋体"/>
          <w:b w:val="0"/>
          <w:bCs/>
          <w:color w:val="auto"/>
          <w:highlight w:val="none"/>
          <w:lang w:val="en-US" w:eastAsia="zh-CN"/>
        </w:rPr>
      </w:pPr>
      <w:r>
        <w:rPr>
          <w:rFonts w:hint="eastAsia" w:ascii="宋体"/>
          <w:b w:val="0"/>
          <w:bCs/>
          <w:color w:val="auto"/>
          <w:highlight w:val="none"/>
          <w:lang w:val="en-US" w:eastAsia="zh-CN"/>
        </w:rPr>
        <w:t>20）</w:t>
      </w:r>
      <w:r>
        <w:rPr>
          <w:rFonts w:hint="eastAsia" w:ascii="宋体" w:hAnsi="宋体" w:eastAsia="宋体" w:cs="宋体"/>
          <w:color w:val="auto"/>
          <w:szCs w:val="21"/>
          <w:highlight w:val="none"/>
          <w:lang w:val="en-US" w:eastAsia="zh-CN"/>
        </w:rPr>
        <w:t>承包人应按照《工程建设领域农民工工资保证金规定》及国家、当地政府或建设单位最新规定，按施工合同额1%存储工资保证金。若工程所在地人力资源和社会保障行政部门制定关于农民工工资保证金的具体规定，乙方按其规定存储农民工工资保证金或开具银行保函。</w:t>
      </w:r>
    </w:p>
    <w:p w14:paraId="235B0B58">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2</w:t>
      </w:r>
      <w:r>
        <w:rPr>
          <w:rFonts w:hint="eastAsia" w:ascii="宋体"/>
          <w:b w:val="0"/>
          <w:bCs/>
          <w:color w:val="auto"/>
          <w:highlight w:val="none"/>
          <w:lang w:val="en-US" w:eastAsia="zh-CN"/>
        </w:rPr>
        <w:t>1</w:t>
      </w:r>
      <w:r>
        <w:rPr>
          <w:rFonts w:hint="eastAsia" w:ascii="宋体"/>
          <w:b w:val="0"/>
          <w:bCs/>
          <w:color w:val="auto"/>
          <w:highlight w:val="none"/>
        </w:rPr>
        <w:t>）承包人施工现场安全文明施工</w:t>
      </w:r>
      <w:r>
        <w:rPr>
          <w:rFonts w:hint="eastAsia" w:ascii="宋体"/>
          <w:b w:val="0"/>
          <w:bCs/>
          <w:color w:val="auto"/>
          <w:highlight w:val="none"/>
          <w:lang w:val="en-US" w:eastAsia="zh-CN"/>
        </w:rPr>
        <w:t>实施及其费用</w:t>
      </w:r>
      <w:r>
        <w:rPr>
          <w:rFonts w:hint="eastAsia" w:ascii="宋体"/>
          <w:b w:val="0"/>
          <w:bCs/>
          <w:color w:val="auto"/>
          <w:highlight w:val="none"/>
        </w:rPr>
        <w:t>执行《关于印发基建项目安全文明施工使用工作指引（试行）的通知》（广电办建[2022]28号）</w:t>
      </w:r>
      <w:r>
        <w:rPr>
          <w:rFonts w:hint="eastAsia" w:ascii="宋体"/>
          <w:b w:val="0"/>
          <w:bCs/>
          <w:color w:val="auto"/>
          <w:highlight w:val="none"/>
          <w:lang w:val="en-US" w:eastAsia="zh-CN"/>
        </w:rPr>
        <w:t>、《电力总额总站关于调整安全文明施工费的通知（定额[2023]9号）》</w:t>
      </w:r>
      <w:r>
        <w:rPr>
          <w:rFonts w:hint="eastAsia" w:ascii="宋体"/>
          <w:b w:val="0"/>
          <w:bCs/>
          <w:color w:val="auto"/>
          <w:highlight w:val="none"/>
        </w:rPr>
        <w:t>的相关要求。</w:t>
      </w:r>
    </w:p>
    <w:p w14:paraId="5EB19883">
      <w:pPr>
        <w:pStyle w:val="11"/>
        <w:spacing w:after="0"/>
        <w:ind w:left="0" w:leftChars="0" w:firstLine="420" w:firstLineChars="200"/>
        <w:rPr>
          <w:rFonts w:hint="eastAsia" w:ascii="宋体" w:hAnsi="宋体" w:eastAsia="宋体" w:cs="Times New Roman"/>
          <w:b w:val="0"/>
          <w:bCs w:val="0"/>
          <w:color w:val="auto"/>
          <w:highlight w:val="none"/>
        </w:rPr>
      </w:pPr>
      <w:r>
        <w:rPr>
          <w:rFonts w:hint="eastAsia" w:ascii="宋体" w:hAnsi="宋体" w:eastAsia="宋体" w:cs="Times New Roman"/>
          <w:b w:val="0"/>
          <w:bCs w:val="0"/>
          <w:color w:val="auto"/>
          <w:highlight w:val="none"/>
        </w:rPr>
        <w:t>22）施工专项补助费执行《关于落实35kV及以上变电改扩建项目施工专项补助费列支有关工作的通知（基建部20230035）》的要求，此费用需包含在正式合同价中，并按费用标准计算的</w:t>
      </w:r>
      <w:r>
        <w:rPr>
          <w:rFonts w:hint="eastAsia" w:ascii="宋体" w:hAnsi="宋体" w:eastAsia="宋体" w:cs="Times New Roman"/>
          <w:b w:val="0"/>
          <w:bCs w:val="0"/>
          <w:color w:val="auto"/>
          <w:highlight w:val="none"/>
          <w:lang w:val="en-US" w:eastAsia="zh-CN"/>
        </w:rPr>
        <w:t>施工</w:t>
      </w:r>
      <w:r>
        <w:rPr>
          <w:rFonts w:hint="eastAsia" w:ascii="宋体" w:hAnsi="宋体" w:eastAsia="宋体" w:cs="Times New Roman"/>
          <w:b w:val="0"/>
          <w:bCs w:val="0"/>
          <w:color w:val="auto"/>
          <w:highlight w:val="none"/>
        </w:rPr>
        <w:t>专项补助费汇总计入建设预算“特殊项目”。结算时以项目施工专项情况考评结果作为结算依据，考评结果若为优秀，则按正式合同价中的专项补助费(正式合同价中的专项补助费=最高限价的专项补助费×中标费率)全额支付；考评结果若为合格，扣除部分施工专项补助费，扣除费用为最高限价中的专项补助费×20%；考评结果若为不合格，扣除最高限价中的全部施工专项补助费。</w:t>
      </w:r>
    </w:p>
    <w:p w14:paraId="58225D31">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23</w:t>
      </w:r>
      <w:r>
        <w:rPr>
          <w:rFonts w:hint="eastAsia" w:ascii="宋体" w:hAnsi="宋体"/>
          <w:color w:val="auto"/>
          <w:highlight w:val="none"/>
        </w:rPr>
        <w:t>）承包人在工程施工过程中认真落实水土保持方案设计的各项水土保持措施，完善相关变更手续，并存档；承包人完工撤场前，应对施工扰动占地进行复耕或植被恢复，经建设单位初验移交后方可撤场，并对植被负有养护责任，直至通过水土保持设施专项验收；配合水土保持设施验收技术咨询服务单位完成水土保持专项验收，具体内容包括提供提供工程施工总结报告，派人参加水土保持设施验收会议（参与现场查勘、会议汇报及会上答疑等)。</w:t>
      </w:r>
    </w:p>
    <w:p w14:paraId="75E8B4E1">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24</w:t>
      </w:r>
      <w:r>
        <w:rPr>
          <w:rFonts w:hint="eastAsia" w:ascii="宋体" w:hAnsi="宋体"/>
          <w:color w:val="auto"/>
          <w:highlight w:val="none"/>
        </w:rPr>
        <w:t>）承包人必须严格执行《广州供电局基建废旧架空线路拆除工作指引》要求，开展拆旧材料损耗控制</w:t>
      </w:r>
      <w:r>
        <w:rPr>
          <w:rFonts w:hint="eastAsia" w:ascii="宋体" w:hAnsi="宋体"/>
          <w:color w:val="auto"/>
          <w:highlight w:val="none"/>
          <w:lang w:eastAsia="zh-CN"/>
        </w:rPr>
        <w:t>（如指引文件有更新，按最新文件执行）</w:t>
      </w:r>
      <w:r>
        <w:rPr>
          <w:rFonts w:hint="eastAsia" w:ascii="宋体" w:hAnsi="宋体"/>
          <w:color w:val="auto"/>
          <w:highlight w:val="none"/>
        </w:rPr>
        <w:t>。</w:t>
      </w:r>
    </w:p>
    <w:p w14:paraId="3479BCEE">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25</w:t>
      </w:r>
      <w:r>
        <w:rPr>
          <w:rFonts w:hint="eastAsia" w:ascii="宋体" w:hAnsi="宋体"/>
          <w:color w:val="auto"/>
          <w:highlight w:val="none"/>
        </w:rPr>
        <w:t>）承包人应根据《广州供电局施工现场仓库设置标准》开展现场临时仓库设置、编码申请和日常管理，对存放于仓库内的甲供设备材料登记造册，每月报监理人员、业主项目部管理人员审查；甲供设备材料在安装前需全部存放于临时仓库内，由乙方并承担保管责任；如仓库内甲供物资材料因保管不善有损坏或遗失，根据采购价格在施工费用中进行扣除。</w:t>
      </w:r>
    </w:p>
    <w:p w14:paraId="0A12694E">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26</w:t>
      </w:r>
      <w:r>
        <w:rPr>
          <w:rFonts w:hint="eastAsia" w:ascii="宋体" w:hAnsi="宋体"/>
          <w:color w:val="auto"/>
          <w:highlight w:val="none"/>
        </w:rPr>
        <w:t>）承包人须对分包单位劳动用工实施监督管理；</w:t>
      </w:r>
    </w:p>
    <w:p w14:paraId="0BF88334">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27</w:t>
      </w:r>
      <w:r>
        <w:rPr>
          <w:rFonts w:hint="eastAsia" w:ascii="宋体" w:hAnsi="宋体"/>
          <w:color w:val="auto"/>
          <w:highlight w:val="none"/>
        </w:rPr>
        <w:t>）承包人须实行用工实名制管理，并监督落实分包单位实行用工实名制管理；</w:t>
      </w:r>
    </w:p>
    <w:p w14:paraId="2010BE7E">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28</w:t>
      </w:r>
      <w:r>
        <w:rPr>
          <w:rFonts w:hint="eastAsia" w:ascii="宋体" w:hAnsi="宋体"/>
          <w:color w:val="auto"/>
          <w:highlight w:val="none"/>
        </w:rPr>
        <w:t>）承包人须实行施工现场维权信息公示制度。</w:t>
      </w:r>
      <w:r>
        <w:rPr>
          <w:rFonts w:hint="eastAsia" w:ascii="宋体" w:hAnsi="宋体" w:eastAsia="宋体" w:cs="Times New Roman"/>
          <w:b w:val="0"/>
          <w:bCs w:val="0"/>
          <w:color w:val="auto"/>
          <w:highlight w:val="none"/>
          <w:lang w:eastAsia="zh-CN"/>
        </w:rPr>
        <w:t>】</w:t>
      </w:r>
    </w:p>
    <w:p w14:paraId="2CEE269E">
      <w:pPr>
        <w:pStyle w:val="11"/>
        <w:spacing w:after="0"/>
        <w:ind w:left="0" w:leftChars="0" w:firstLine="422" w:firstLineChars="200"/>
        <w:rPr>
          <w:rFonts w:hint="eastAsia" w:ascii="宋体"/>
          <w:color w:val="auto"/>
          <w:highlight w:val="none"/>
        </w:rPr>
      </w:pPr>
      <w:r>
        <w:rPr>
          <w:rFonts w:hint="eastAsia" w:ascii="宋体"/>
          <w:color w:val="auto"/>
          <w:highlight w:val="none"/>
        </w:rPr>
        <w:t xml:space="preserve"> 增加以下内容4.4.3款： </w:t>
      </w:r>
    </w:p>
    <w:p w14:paraId="1E745C35">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推行分包单位农民工工资委托施工总承包单位代发制度。分包单位应当按月考核农民工工作量并编制工资支付表，经农民工本人、分包单位负责人签字盖章确认后，与当月工程进度等情况一并交承包人。</w:t>
      </w:r>
    </w:p>
    <w:p w14:paraId="1E9CFD4A">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承包人应当在工程项目部配备劳资专管员，对分包单位劳动用工实施监督管理，掌握施工现场用工、考勤、工资支付等情况，审核分包单位编制的农民工工资支付表，分包单位应当予以配合。承包人根据分包单位编制的工资支付表，通过农民工工资专用账户直接将工资支付到农民工本人的银行账户，并向分包单位提供代发工资凭证。用于支付农民工工资的银行账户所绑定的农民工本人社会保障卡或者银行卡，用人单位或者其他人员不得以任何理由扣押或者变相扣押。</w:t>
      </w:r>
    </w:p>
    <w:p w14:paraId="718A9D50">
      <w:pPr>
        <w:pStyle w:val="11"/>
        <w:spacing w:after="0"/>
        <w:ind w:left="0" w:leftChars="0" w:firstLine="422" w:firstLineChars="200"/>
        <w:rPr>
          <w:rFonts w:hint="eastAsia" w:ascii="宋体"/>
          <w:color w:val="auto"/>
          <w:highlight w:val="none"/>
        </w:rPr>
      </w:pPr>
      <w:r>
        <w:rPr>
          <w:rFonts w:hint="eastAsia" w:ascii="宋体"/>
          <w:color w:val="auto"/>
          <w:highlight w:val="none"/>
        </w:rPr>
        <w:t>7.</w:t>
      </w:r>
      <w:r>
        <w:rPr>
          <w:rFonts w:hint="eastAsia" w:ascii="宋体"/>
          <w:color w:val="auto"/>
          <w:highlight w:val="none"/>
        </w:rPr>
        <w:tab/>
      </w:r>
      <w:r>
        <w:rPr>
          <w:rFonts w:hint="eastAsia" w:ascii="宋体"/>
          <w:color w:val="auto"/>
          <w:highlight w:val="none"/>
        </w:rPr>
        <w:t>永久设备、材料和工艺</w:t>
      </w:r>
    </w:p>
    <w:p w14:paraId="3A0CAA5A">
      <w:pPr>
        <w:pStyle w:val="11"/>
        <w:spacing w:after="0"/>
        <w:ind w:left="0" w:leftChars="0" w:firstLine="422" w:firstLineChars="200"/>
        <w:rPr>
          <w:rFonts w:hint="eastAsia" w:ascii="宋体"/>
          <w:color w:val="auto"/>
          <w:highlight w:val="none"/>
        </w:rPr>
      </w:pPr>
      <w:r>
        <w:rPr>
          <w:rFonts w:hint="eastAsia" w:ascii="宋体"/>
          <w:color w:val="auto"/>
          <w:highlight w:val="none"/>
        </w:rPr>
        <w:t>替换以下内容作为第7.9款：</w:t>
      </w:r>
    </w:p>
    <w:p w14:paraId="2FFF5FB2">
      <w:pPr>
        <w:pStyle w:val="5"/>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7.</w:t>
      </w:r>
      <w:r>
        <w:rPr>
          <w:rFonts w:ascii="宋体" w:hAnsi="宋体"/>
          <w:color w:val="auto"/>
          <w:szCs w:val="21"/>
          <w:highlight w:val="none"/>
        </w:rPr>
        <w:t xml:space="preserve">9 </w:t>
      </w:r>
      <w:r>
        <w:rPr>
          <w:rFonts w:hint="eastAsia" w:ascii="宋体" w:hAnsi="宋体"/>
          <w:color w:val="auto"/>
          <w:szCs w:val="21"/>
          <w:highlight w:val="none"/>
        </w:rPr>
        <w:t>发包人供应材料与工程设备</w:t>
      </w:r>
    </w:p>
    <w:p w14:paraId="072B9F37">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发包人提供的材料和工程设备包括：【详见合同附件</w:t>
      </w:r>
      <w:r>
        <w:rPr>
          <w:rFonts w:hint="eastAsia" w:ascii="宋体"/>
          <w:b w:val="0"/>
          <w:bCs/>
          <w:color w:val="auto"/>
          <w:highlight w:val="none"/>
          <w:lang w:eastAsia="zh-CN"/>
        </w:rPr>
        <w:t>九</w:t>
      </w:r>
      <w:r>
        <w:rPr>
          <w:rFonts w:hint="eastAsia" w:ascii="宋体"/>
          <w:b w:val="0"/>
          <w:bCs/>
          <w:color w:val="auto"/>
          <w:highlight w:val="none"/>
        </w:rPr>
        <w:t>】</w:t>
      </w:r>
    </w:p>
    <w:p w14:paraId="7787E91F">
      <w:pPr>
        <w:pStyle w:val="5"/>
        <w:spacing w:after="0"/>
        <w:ind w:left="0" w:leftChars="0" w:firstLine="420" w:firstLineChars="200"/>
        <w:rPr>
          <w:rFonts w:ascii="宋体" w:hAnsi="宋体"/>
          <w:color w:val="auto"/>
          <w:szCs w:val="21"/>
          <w:highlight w:val="none"/>
        </w:rPr>
      </w:pPr>
      <w:r>
        <w:rPr>
          <w:rFonts w:hint="eastAsia" w:ascii="宋体" w:hAnsi="宋体"/>
          <w:color w:val="auto"/>
          <w:szCs w:val="21"/>
          <w:highlight w:val="none"/>
        </w:rPr>
        <w:t>材料和工程设备的规格、数量、价格、交货方式、交货地点和计划交货日期：</w:t>
      </w:r>
    </w:p>
    <w:p w14:paraId="2165682A">
      <w:pPr>
        <w:pStyle w:val="5"/>
        <w:spacing w:after="0"/>
        <w:ind w:left="0" w:leftChars="0" w:firstLine="420" w:firstLineChars="200"/>
        <w:rPr>
          <w:rFonts w:hint="eastAsia" w:ascii="宋体" w:hAnsi="宋体"/>
          <w:color w:val="auto"/>
          <w:szCs w:val="21"/>
          <w:highlight w:val="none"/>
          <w:u w:val="single"/>
        </w:rPr>
      </w:pPr>
    </w:p>
    <w:p w14:paraId="69453203">
      <w:pPr>
        <w:pStyle w:val="5"/>
        <w:spacing w:after="0"/>
        <w:ind w:left="0" w:leftChars="0" w:firstLine="420" w:firstLineChars="200"/>
        <w:rPr>
          <w:rFonts w:ascii="宋体" w:hAnsi="宋体"/>
          <w:color w:val="auto"/>
          <w:szCs w:val="21"/>
          <w:highlight w:val="none"/>
          <w:u w:val="single"/>
        </w:rPr>
      </w:pP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p>
    <w:p w14:paraId="1B1E873B">
      <w:pPr>
        <w:pStyle w:val="5"/>
        <w:spacing w:after="0" w:line="360" w:lineRule="auto"/>
        <w:ind w:left="0" w:leftChars="0" w:firstLine="420" w:firstLineChars="200"/>
        <w:rPr>
          <w:rFonts w:hint="eastAsia" w:ascii="宋体" w:hAnsi="宋体" w:eastAsia="宋体" w:cs="Times New Roman"/>
          <w:color w:val="auto"/>
          <w:szCs w:val="21"/>
          <w:highlight w:val="none"/>
          <w:shd w:val="clear" w:color="auto" w:fill="auto"/>
          <w:lang w:val="en-US" w:eastAsia="zh-CN"/>
        </w:rPr>
      </w:pPr>
      <w:r>
        <w:rPr>
          <w:rFonts w:hint="eastAsia" w:ascii="宋体" w:hAnsi="宋体" w:eastAsia="宋体" w:cs="Times New Roman"/>
          <w:color w:val="auto"/>
          <w:szCs w:val="21"/>
          <w:highlight w:val="none"/>
          <w:shd w:val="clear" w:color="auto" w:fill="auto"/>
          <w:lang w:val="en-US" w:eastAsia="zh-CN"/>
        </w:rPr>
        <w:t>由项目发包人提供的设备、材料的交货地点在临时仓库。承包人必须设置相应的临时仓库，所设的临时仓库应具备汽车送达、吊车作业的条件。承包人负责进行卸车、到货验收（到货验收包括清点数量、验品种、型号、规格等常规验收以及配合质量验收）。临时仓库的设置和管理需满足中国南方电网有限责任公司相关规定和要求。</w:t>
      </w:r>
    </w:p>
    <w:p w14:paraId="6C3FBC26">
      <w:pPr>
        <w:pStyle w:val="5"/>
        <w:spacing w:after="0" w:line="360" w:lineRule="auto"/>
        <w:ind w:left="0" w:leftChars="0" w:firstLine="420" w:firstLineChars="200"/>
        <w:rPr>
          <w:rFonts w:hint="eastAsia" w:ascii="宋体" w:hAnsi="宋体" w:eastAsia="宋体" w:cs="Times New Roman"/>
          <w:color w:val="auto"/>
          <w:szCs w:val="21"/>
          <w:highlight w:val="none"/>
          <w:shd w:val="clear" w:color="auto" w:fill="auto"/>
          <w:lang w:val="en-US" w:eastAsia="zh-CN"/>
        </w:rPr>
      </w:pPr>
      <w:r>
        <w:rPr>
          <w:rFonts w:hint="eastAsia" w:ascii="宋体" w:hAnsi="宋体" w:eastAsia="宋体" w:cs="Times New Roman"/>
          <w:color w:val="auto"/>
          <w:szCs w:val="21"/>
          <w:highlight w:val="none"/>
          <w:shd w:val="clear" w:color="auto" w:fill="auto"/>
          <w:lang w:val="en-US" w:eastAsia="zh-CN"/>
        </w:rPr>
        <w:t>除发包人提供的材料和工程设备外，其余均由承包人提供。</w:t>
      </w:r>
    </w:p>
    <w:p w14:paraId="4C5239A6">
      <w:pPr>
        <w:pStyle w:val="5"/>
        <w:spacing w:after="0" w:line="360" w:lineRule="auto"/>
        <w:ind w:left="0" w:leftChars="0" w:firstLine="420" w:firstLineChars="200"/>
        <w:rPr>
          <w:rFonts w:hint="eastAsia" w:ascii="宋体" w:hAnsi="宋体" w:eastAsia="宋体" w:cs="Times New Roman"/>
          <w:color w:val="auto"/>
          <w:szCs w:val="21"/>
          <w:highlight w:val="none"/>
          <w:shd w:val="clear" w:color="auto" w:fill="auto"/>
          <w:lang w:val="en-US" w:eastAsia="zh-CN"/>
        </w:rPr>
      </w:pPr>
      <w:r>
        <w:rPr>
          <w:rFonts w:hint="eastAsia" w:ascii="宋体" w:hAnsi="宋体" w:eastAsia="宋体" w:cs="Times New Roman"/>
          <w:color w:val="auto"/>
          <w:szCs w:val="21"/>
          <w:highlight w:val="none"/>
          <w:shd w:val="clear" w:color="auto" w:fill="auto"/>
          <w:lang w:val="en-US" w:eastAsia="zh-CN"/>
        </w:rPr>
        <w:t>发包人供应的材料和工程设备，承包人清点后由承包人妥善保管，保管费用由发包人承担，但已标价工程量清单或预算书已经列支或专用合同条款另有约定除外。因承包人原因发生丢失毁损的，由承包人负责赔偿；工程师未通知承包人清点的，承包人不负责材料和工程设备的保管，由此导致丢失毁损的由发包人负责。</w:t>
      </w:r>
    </w:p>
    <w:p w14:paraId="60AC3BBE">
      <w:pPr>
        <w:pStyle w:val="5"/>
        <w:spacing w:after="0" w:line="360" w:lineRule="auto"/>
        <w:ind w:left="0" w:leftChars="0" w:firstLine="420" w:firstLineChars="200"/>
        <w:rPr>
          <w:rFonts w:hint="eastAsia" w:ascii="宋体" w:hAnsi="宋体" w:eastAsia="宋体" w:cs="Times New Roman"/>
          <w:color w:val="auto"/>
          <w:szCs w:val="21"/>
          <w:highlight w:val="none"/>
          <w:shd w:val="clear" w:color="auto" w:fill="auto"/>
          <w:lang w:val="en-US" w:eastAsia="zh-CN"/>
        </w:rPr>
      </w:pPr>
      <w:r>
        <w:rPr>
          <w:rFonts w:hint="eastAsia" w:ascii="宋体" w:hAnsi="宋体" w:eastAsia="宋体" w:cs="Times New Roman"/>
          <w:color w:val="auto"/>
          <w:szCs w:val="21"/>
          <w:highlight w:val="none"/>
          <w:shd w:val="clear" w:color="auto" w:fill="auto"/>
          <w:lang w:val="en-US" w:eastAsia="zh-CN"/>
        </w:rPr>
        <w:t>发包人供应的材料和工程设备使用前，由承包人负责检验，检验费用由发包人承担，不合格的不得使用。</w:t>
      </w:r>
    </w:p>
    <w:p w14:paraId="71C19D59">
      <w:pPr>
        <w:pStyle w:val="11"/>
        <w:spacing w:after="0"/>
        <w:ind w:left="0" w:leftChars="0" w:firstLine="422" w:firstLineChars="200"/>
        <w:rPr>
          <w:rFonts w:ascii="宋体"/>
          <w:color w:val="auto"/>
          <w:highlight w:val="none"/>
          <w:shd w:val="clear" w:color="auto" w:fill="auto"/>
        </w:rPr>
      </w:pPr>
      <w:r>
        <w:rPr>
          <w:rFonts w:hint="eastAsia" w:ascii="宋体"/>
          <w:color w:val="auto"/>
          <w:highlight w:val="none"/>
          <w:shd w:val="clear" w:color="auto" w:fill="auto"/>
        </w:rPr>
        <w:t>13.</w:t>
      </w:r>
      <w:r>
        <w:rPr>
          <w:rFonts w:hint="eastAsia" w:ascii="宋体"/>
          <w:color w:val="auto"/>
          <w:highlight w:val="none"/>
          <w:shd w:val="clear" w:color="auto" w:fill="auto"/>
        </w:rPr>
        <w:tab/>
      </w:r>
      <w:r>
        <w:rPr>
          <w:rFonts w:hint="eastAsia" w:ascii="宋体"/>
          <w:color w:val="auto"/>
          <w:highlight w:val="none"/>
          <w:shd w:val="clear" w:color="auto" w:fill="auto"/>
        </w:rPr>
        <w:t>变更和调整</w:t>
      </w:r>
    </w:p>
    <w:p w14:paraId="5188B3B5">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13.5 暂定金额</w:t>
      </w:r>
    </w:p>
    <w:p w14:paraId="3CC469CE">
      <w:pPr>
        <w:pStyle w:val="5"/>
        <w:keepNext w:val="0"/>
        <w:keepLines w:val="0"/>
        <w:pageBreakBefore w:val="0"/>
        <w:widowControl w:val="0"/>
        <w:kinsoku/>
        <w:wordWrap/>
        <w:overflowPunct/>
        <w:topLinePunct w:val="0"/>
        <w:bidi w:val="0"/>
        <w:snapToGrid/>
        <w:spacing w:after="0" w:line="360" w:lineRule="auto"/>
        <w:ind w:left="0" w:leftChars="0" w:firstLine="422" w:firstLineChars="200"/>
        <w:textAlignment w:val="auto"/>
        <w:rPr>
          <w:rFonts w:hint="eastAsia" w:ascii="宋体" w:hAnsi="宋体"/>
          <w:b/>
          <w:bCs/>
          <w:color w:val="auto"/>
          <w:sz w:val="21"/>
          <w:szCs w:val="21"/>
          <w:highlight w:val="none"/>
        </w:rPr>
      </w:pPr>
      <w:r>
        <w:rPr>
          <w:rFonts w:hint="eastAsia" w:ascii="宋体" w:hAnsi="宋体"/>
          <w:b/>
          <w:bCs/>
          <w:color w:val="auto"/>
          <w:sz w:val="21"/>
          <w:szCs w:val="21"/>
          <w:highlight w:val="none"/>
          <w:lang w:eastAsia="zh-CN"/>
        </w:rPr>
        <w:t>增加</w:t>
      </w:r>
      <w:r>
        <w:rPr>
          <w:rFonts w:hint="eastAsia" w:ascii="宋体" w:hAnsi="宋体"/>
          <w:b/>
          <w:bCs/>
          <w:color w:val="auto"/>
          <w:sz w:val="21"/>
          <w:szCs w:val="21"/>
          <w:highlight w:val="none"/>
        </w:rPr>
        <w:t>以下内容到第13.5款：</w:t>
      </w:r>
    </w:p>
    <w:p w14:paraId="529C536F">
      <w:pPr>
        <w:pStyle w:val="6"/>
        <w:keepNext w:val="0"/>
        <w:keepLines w:val="0"/>
        <w:pageBreakBefore w:val="0"/>
        <w:widowControl w:val="0"/>
        <w:kinsoku/>
        <w:wordWrap/>
        <w:overflowPunct/>
        <w:topLinePunct w:val="0"/>
        <w:bidi w:val="0"/>
        <w:snapToGrid/>
        <w:spacing w:line="360" w:lineRule="auto"/>
        <w:ind w:firstLine="422" w:firstLineChars="200"/>
        <w:textAlignment w:val="auto"/>
        <w:rPr>
          <w:rFonts w:hint="eastAsia" w:hAnsi="宋体" w:eastAsia="宋体"/>
          <w:b/>
          <w:bCs/>
          <w:color w:val="auto"/>
          <w:sz w:val="21"/>
          <w:szCs w:val="21"/>
          <w:highlight w:val="none"/>
          <w:lang w:eastAsia="zh-CN"/>
        </w:rPr>
      </w:pPr>
      <w:r>
        <w:rPr>
          <w:rFonts w:hint="eastAsia" w:hAnsi="宋体"/>
          <w:b/>
          <w:color w:val="auto"/>
          <w:sz w:val="21"/>
          <w:szCs w:val="21"/>
          <w:highlight w:val="none"/>
        </w:rPr>
        <w:t>13.5.1</w:t>
      </w:r>
      <w:r>
        <w:rPr>
          <w:rFonts w:hint="eastAsia" w:hAnsi="宋体"/>
          <w:b/>
          <w:bCs/>
          <w:color w:val="auto"/>
          <w:sz w:val="21"/>
          <w:szCs w:val="21"/>
          <w:highlight w:val="none"/>
          <w:lang w:eastAsia="zh-CN"/>
        </w:rPr>
        <w:t>代垫代付费用</w:t>
      </w:r>
    </w:p>
    <w:p w14:paraId="4366C299">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Cs/>
          <w:color w:val="auto"/>
          <w:sz w:val="21"/>
          <w:szCs w:val="21"/>
          <w:highlight w:val="none"/>
          <w:u w:val="none"/>
        </w:rPr>
      </w:pPr>
      <w:r>
        <w:rPr>
          <w:rFonts w:hint="eastAsia" w:hAnsi="宋体"/>
          <w:bCs/>
          <w:color w:val="auto"/>
          <w:sz w:val="21"/>
          <w:szCs w:val="21"/>
          <w:highlight w:val="none"/>
          <w:u w:val="none"/>
        </w:rPr>
        <w:t>（1）行政事业性收费</w:t>
      </w:r>
    </w:p>
    <w:p w14:paraId="5A8CA913">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Cs/>
          <w:color w:val="auto"/>
          <w:sz w:val="21"/>
          <w:szCs w:val="21"/>
          <w:highlight w:val="none"/>
          <w:u w:val="single"/>
        </w:rPr>
      </w:pPr>
      <w:r>
        <w:rPr>
          <w:rFonts w:hint="eastAsia" w:hAnsi="宋体"/>
          <w:bCs/>
          <w:color w:val="auto"/>
          <w:sz w:val="21"/>
          <w:szCs w:val="21"/>
          <w:highlight w:val="none"/>
          <w:u w:val="single"/>
        </w:rPr>
        <w:t>由行政事业性单位按相关收费文件收费，承包人凭相关行政事业单位开具的有效收费凭证或发票按实结算。</w:t>
      </w:r>
    </w:p>
    <w:p w14:paraId="76193A70">
      <w:pPr>
        <w:pStyle w:val="5"/>
        <w:keepNext w:val="0"/>
        <w:keepLines w:val="0"/>
        <w:pageBreakBefore w:val="0"/>
        <w:widowControl w:val="0"/>
        <w:numPr>
          <w:ilvl w:val="0"/>
          <w:numId w:val="2"/>
        </w:numPr>
        <w:kinsoku/>
        <w:wordWrap/>
        <w:overflowPunct/>
        <w:topLinePunct w:val="0"/>
        <w:bidi w:val="0"/>
        <w:snapToGrid/>
        <w:spacing w:beforeAutospacing="0" w:after="0" w:line="360" w:lineRule="auto"/>
        <w:ind w:left="0" w:leftChars="0" w:firstLine="420" w:firstLineChars="200"/>
        <w:textAlignment w:val="auto"/>
        <w:rPr>
          <w:rFonts w:hint="eastAsia" w:hAnsi="宋体"/>
          <w:bCs/>
          <w:color w:val="auto"/>
          <w:sz w:val="21"/>
          <w:szCs w:val="21"/>
          <w:highlight w:val="none"/>
          <w:u w:val="none"/>
        </w:rPr>
      </w:pPr>
      <w:r>
        <w:rPr>
          <w:rFonts w:hint="eastAsia" w:hAnsi="宋体"/>
          <w:bCs/>
          <w:color w:val="auto"/>
          <w:sz w:val="21"/>
          <w:szCs w:val="21"/>
          <w:highlight w:val="none"/>
          <w:u w:val="none"/>
        </w:rPr>
        <w:t>赔偿/补偿类代垫代付费用</w:t>
      </w:r>
    </w:p>
    <w:p w14:paraId="26C227A9">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cs="宋体"/>
          <w:color w:val="auto"/>
          <w:kern w:val="0"/>
          <w:sz w:val="21"/>
          <w:szCs w:val="21"/>
          <w:highlight w:val="none"/>
          <w:u w:val="single"/>
        </w:rPr>
      </w:pPr>
      <w:r>
        <w:rPr>
          <w:rFonts w:hint="eastAsia" w:hAnsi="宋体" w:cs="宋体"/>
          <w:color w:val="auto"/>
          <w:kern w:val="0"/>
          <w:sz w:val="21"/>
          <w:szCs w:val="21"/>
          <w:highlight w:val="none"/>
          <w:u w:val="single"/>
        </w:rPr>
        <w:t>项目实施过程中如发生电缆线路临时占用租用赔偿、项目零星赔偿等，需要承包人进行代垫代付的，应先由建设单位与受赔方确认费用，并在费用明细表中共同盖章确认交承包人进行费用垫支，结算时（根据实际情况计算税金）按实结算。</w:t>
      </w:r>
    </w:p>
    <w:p w14:paraId="51AF01F9">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cs="宋体"/>
          <w:color w:val="auto"/>
          <w:kern w:val="0"/>
          <w:sz w:val="21"/>
          <w:szCs w:val="21"/>
          <w:highlight w:val="none"/>
          <w:u w:val="single"/>
        </w:rPr>
      </w:pPr>
      <w:r>
        <w:rPr>
          <w:rFonts w:hint="eastAsia" w:hAnsi="宋体" w:cs="宋体"/>
          <w:color w:val="auto"/>
          <w:kern w:val="0"/>
          <w:sz w:val="21"/>
          <w:szCs w:val="21"/>
          <w:highlight w:val="none"/>
          <w:u w:val="none"/>
        </w:rPr>
        <w:t>（</w:t>
      </w:r>
      <w:r>
        <w:rPr>
          <w:rFonts w:hint="eastAsia" w:hAnsi="宋体" w:cs="宋体"/>
          <w:color w:val="auto"/>
          <w:kern w:val="0"/>
          <w:sz w:val="21"/>
          <w:szCs w:val="21"/>
          <w:highlight w:val="none"/>
          <w:u w:val="none"/>
          <w:lang w:val="en-US" w:eastAsia="zh-CN"/>
        </w:rPr>
        <w:t>3</w:t>
      </w:r>
      <w:r>
        <w:rPr>
          <w:rFonts w:hint="eastAsia" w:hAnsi="宋体" w:cs="宋体"/>
          <w:color w:val="auto"/>
          <w:kern w:val="0"/>
          <w:sz w:val="21"/>
          <w:szCs w:val="21"/>
          <w:highlight w:val="none"/>
          <w:u w:val="none"/>
        </w:rPr>
        <w:t>）其他：</w:t>
      </w:r>
      <w:r>
        <w:rPr>
          <w:rFonts w:hint="eastAsia" w:hAnsi="宋体" w:cs="宋体"/>
          <w:color w:val="auto"/>
          <w:kern w:val="0"/>
          <w:sz w:val="21"/>
          <w:szCs w:val="21"/>
          <w:highlight w:val="none"/>
          <w:u w:val="single"/>
        </w:rPr>
        <w:t xml:space="preserve">         /            。</w:t>
      </w:r>
    </w:p>
    <w:p w14:paraId="6A8BF708">
      <w:pPr>
        <w:pStyle w:val="5"/>
        <w:keepNext w:val="0"/>
        <w:keepLines w:val="0"/>
        <w:pageBreakBefore w:val="0"/>
        <w:widowControl w:val="0"/>
        <w:kinsoku/>
        <w:wordWrap/>
        <w:overflowPunct/>
        <w:topLinePunct w:val="0"/>
        <w:bidi w:val="0"/>
        <w:snapToGrid/>
        <w:spacing w:after="0" w:line="360" w:lineRule="auto"/>
        <w:ind w:left="0" w:leftChars="0" w:firstLine="422" w:firstLineChars="200"/>
        <w:textAlignment w:val="auto"/>
        <w:rPr>
          <w:rFonts w:hint="eastAsia" w:ascii="宋体" w:hAnsi="宋体"/>
          <w:b/>
          <w:color w:val="auto"/>
          <w:sz w:val="21"/>
          <w:szCs w:val="21"/>
          <w:highlight w:val="none"/>
        </w:rPr>
      </w:pPr>
      <w:r>
        <w:rPr>
          <w:rFonts w:hint="eastAsia" w:ascii="宋体" w:hAnsi="宋体"/>
          <w:b/>
          <w:color w:val="auto"/>
          <w:sz w:val="21"/>
          <w:szCs w:val="21"/>
          <w:highlight w:val="none"/>
        </w:rPr>
        <w:t>13.5.2 专业工程暂估价</w:t>
      </w:r>
    </w:p>
    <w:p w14:paraId="206A3F12">
      <w:pPr>
        <w:pStyle w:val="5"/>
        <w:keepNext w:val="0"/>
        <w:keepLines w:val="0"/>
        <w:pageBreakBefore w:val="0"/>
        <w:widowControl w:val="0"/>
        <w:kinsoku/>
        <w:wordWrap/>
        <w:overflowPunct/>
        <w:topLinePunct w:val="0"/>
        <w:bidi w:val="0"/>
        <w:snapToGrid/>
        <w:spacing w:after="0" w:line="360" w:lineRule="auto"/>
        <w:ind w:left="0" w:leftChars="0" w:firstLine="422" w:firstLineChars="200"/>
        <w:textAlignment w:val="auto"/>
        <w:rPr>
          <w:rFonts w:hint="eastAsia" w:ascii="宋体" w:hAnsi="宋体"/>
          <w:b/>
          <w:color w:val="auto"/>
          <w:sz w:val="21"/>
          <w:szCs w:val="21"/>
          <w:highlight w:val="none"/>
        </w:rPr>
      </w:pPr>
      <w:r>
        <w:rPr>
          <w:rFonts w:hint="eastAsia" w:ascii="宋体" w:hAnsi="宋体"/>
          <w:b/>
          <w:color w:val="auto"/>
          <w:sz w:val="21"/>
          <w:szCs w:val="21"/>
          <w:highlight w:val="none"/>
        </w:rPr>
        <w:t>以下结算方式仅适用于在本工程</w:t>
      </w:r>
      <w:r>
        <w:rPr>
          <w:rFonts w:hint="eastAsia" w:ascii="宋体" w:hAnsi="宋体"/>
          <w:b/>
          <w:color w:val="auto"/>
          <w:sz w:val="21"/>
          <w:szCs w:val="21"/>
          <w:highlight w:val="none"/>
          <w:lang w:eastAsia="zh-CN"/>
        </w:rPr>
        <w:t>招标文件及配套附件</w:t>
      </w:r>
      <w:r>
        <w:rPr>
          <w:rFonts w:hint="eastAsia" w:ascii="宋体" w:hAnsi="宋体"/>
          <w:b/>
          <w:color w:val="auto"/>
          <w:sz w:val="21"/>
          <w:szCs w:val="21"/>
          <w:highlight w:val="none"/>
        </w:rPr>
        <w:t>中</w:t>
      </w:r>
      <w:r>
        <w:rPr>
          <w:rFonts w:hint="eastAsia" w:ascii="宋体" w:hAnsi="宋体"/>
          <w:b/>
          <w:color w:val="auto"/>
          <w:sz w:val="21"/>
          <w:szCs w:val="21"/>
          <w:highlight w:val="none"/>
          <w:lang w:eastAsia="zh-CN"/>
        </w:rPr>
        <w:t>明确</w:t>
      </w:r>
      <w:r>
        <w:rPr>
          <w:rFonts w:hint="eastAsia" w:ascii="宋体" w:hAnsi="宋体"/>
          <w:b/>
          <w:color w:val="auto"/>
          <w:sz w:val="21"/>
          <w:szCs w:val="21"/>
          <w:highlight w:val="none"/>
        </w:rPr>
        <w:t>以暂估价单独列项的项目，若</w:t>
      </w:r>
      <w:r>
        <w:rPr>
          <w:rFonts w:hint="eastAsia" w:ascii="宋体" w:hAnsi="宋体"/>
          <w:b/>
          <w:color w:val="auto"/>
          <w:sz w:val="21"/>
          <w:szCs w:val="21"/>
          <w:highlight w:val="none"/>
          <w:lang w:eastAsia="zh-CN"/>
        </w:rPr>
        <w:t>招标文件及配套附件</w:t>
      </w:r>
      <w:r>
        <w:rPr>
          <w:rFonts w:hint="eastAsia" w:ascii="宋体" w:hAnsi="宋体"/>
          <w:b/>
          <w:color w:val="auto"/>
          <w:sz w:val="21"/>
          <w:szCs w:val="21"/>
          <w:highlight w:val="none"/>
        </w:rPr>
        <w:t>中未约定为暂估价，则按施工图包干结算；若招标文件包含范围但施工图未有相应内容，实际过程中发生的，结算时可参照执行。</w:t>
      </w:r>
    </w:p>
    <w:p w14:paraId="42DBFBAB">
      <w:pPr>
        <w:pStyle w:val="5"/>
        <w:keepNext w:val="0"/>
        <w:keepLines w:val="0"/>
        <w:pageBreakBefore w:val="0"/>
        <w:widowControl w:val="0"/>
        <w:kinsoku/>
        <w:wordWrap/>
        <w:overflowPunct/>
        <w:topLinePunct w:val="0"/>
        <w:bidi w:val="0"/>
        <w:snapToGrid/>
        <w:spacing w:beforeAutospacing="0" w:after="0" w:line="360" w:lineRule="auto"/>
        <w:ind w:left="0" w:leftChars="0" w:firstLine="422" w:firstLineChars="200"/>
        <w:textAlignment w:val="auto"/>
        <w:rPr>
          <w:rFonts w:hint="eastAsia" w:ascii="宋体" w:hAnsi="宋体"/>
          <w:b/>
          <w:bCs/>
          <w:color w:val="auto"/>
          <w:sz w:val="21"/>
          <w:szCs w:val="21"/>
          <w:highlight w:val="none"/>
        </w:rPr>
      </w:pPr>
      <w:r>
        <w:rPr>
          <w:rFonts w:hint="eastAsia" w:ascii="宋体" w:hAnsi="宋体"/>
          <w:b/>
          <w:bCs/>
          <w:color w:val="auto"/>
          <w:sz w:val="21"/>
          <w:szCs w:val="21"/>
          <w:highlight w:val="none"/>
        </w:rPr>
        <w:t>若以下规则均不适用，则双方另行协商约定。</w:t>
      </w:r>
    </w:p>
    <w:p w14:paraId="58A11AF2">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（1）</w:t>
      </w:r>
      <w:r>
        <w:rPr>
          <w:rFonts w:hint="eastAsia" w:hAnsi="宋体"/>
          <w:b w:val="0"/>
          <w:bCs/>
          <w:color w:val="auto"/>
          <w:sz w:val="21"/>
          <w:szCs w:val="21"/>
          <w:highlight w:val="none"/>
          <w:u w:val="single"/>
        </w:rPr>
        <w:t>站外给排水</w:t>
      </w:r>
    </w:p>
    <w:p w14:paraId="7E2FE4E6">
      <w:pPr>
        <w:pStyle w:val="5"/>
        <w:keepNext w:val="0"/>
        <w:keepLines w:val="0"/>
        <w:pageBreakBefore w:val="0"/>
        <w:widowControl w:val="0"/>
        <w:kinsoku/>
        <w:wordWrap/>
        <w:overflowPunct/>
        <w:topLinePunct w:val="0"/>
        <w:bidi w:val="0"/>
        <w:snapToGrid/>
        <w:spacing w:beforeAutospacing="0"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hAnsi="宋体"/>
          <w:b w:val="0"/>
          <w:bCs/>
          <w:color w:val="auto"/>
          <w:sz w:val="21"/>
          <w:szCs w:val="21"/>
          <w:highlight w:val="none"/>
          <w:u w:val="single"/>
        </w:rPr>
        <w:t>按实际工程量并计取中标下浮率进行结算。费用标准参照《广东省市政工程综合定额（2018）》《广东省房屋建筑与装饰工程综合定额（2018）》《广东省通用安装工程综合定额（2018）》及其计价程序；人工材料机械价差调整按广州市建设工程造价管理站发布的该项工作开工日期当月调差文件计取价差。无可套取定额的，按相关收费文件或合同计算。待工程整体完工后由第三方造价审核机构审核，与主合同一并结算。</w:t>
      </w:r>
    </w:p>
    <w:p w14:paraId="62836DF3">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（2）市政路面修复</w:t>
      </w:r>
    </w:p>
    <w:p w14:paraId="511F3EBB">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市政路面修复（含养护、维护一年、质量检测）由承包人负责与有资质的施工单位、质量检测单位分别签订合同，负责保质保量完成路面修复并确保顺利通过市政道路主管部门验收，在保修期内负责所修复道路的养护和维护工作。修复标准按施工图纸标准修复，须对修复质量进行监测，并承诺1年质保期（具体视市政主管部门的要求）。对城市道路不能按时修复或修复质量达不到施工图纸标准的，责令限时整改。</w:t>
      </w:r>
    </w:p>
    <w:p w14:paraId="31DE5514">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结算时：</w:t>
      </w:r>
    </w:p>
    <w:p w14:paraId="23D7A085">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cs="宋体"/>
          <w:b w:val="0"/>
          <w:bCs/>
          <w:color w:val="auto"/>
          <w:sz w:val="21"/>
          <w:szCs w:val="21"/>
          <w:highlight w:val="none"/>
          <w:u w:val="single"/>
        </w:rPr>
        <w:t>①</w:t>
      </w:r>
      <w:r>
        <w:rPr>
          <w:rFonts w:hint="eastAsia" w:hAnsi="宋体"/>
          <w:b w:val="0"/>
          <w:bCs/>
          <w:color w:val="auto"/>
          <w:sz w:val="21"/>
          <w:szCs w:val="21"/>
          <w:highlight w:val="none"/>
          <w:u w:val="single"/>
        </w:rPr>
        <w:t xml:space="preserve">质量检测费用根据现有检测收费文件计算； </w:t>
      </w:r>
    </w:p>
    <w:p w14:paraId="43408ABD">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cs="宋体"/>
          <w:b w:val="0"/>
          <w:bCs/>
          <w:color w:val="auto"/>
          <w:sz w:val="21"/>
          <w:szCs w:val="21"/>
          <w:highlight w:val="none"/>
          <w:u w:val="single"/>
        </w:rPr>
        <w:t>②</w:t>
      </w:r>
      <w:r>
        <w:rPr>
          <w:rFonts w:hint="eastAsia" w:hAnsi="宋体"/>
          <w:b w:val="0"/>
          <w:bCs/>
          <w:color w:val="auto"/>
          <w:sz w:val="21"/>
          <w:szCs w:val="21"/>
          <w:highlight w:val="none"/>
          <w:u w:val="single"/>
        </w:rPr>
        <w:t>施工及质量保修、维（养）护部分费用标准参照《广东省市政工程综合定额（2018）》《广东省通用安装工程综合定额（2018）》及其计价程序，人工材料机械价差调整按广州市建设工程造价管理站发布的该项工作开工日期当月调差文件计取价差，由承包人按实际施工图纸计量，并乘以中标下浮率计算，待工程整体完工后由第三方造价审核机构审核，与主合同一并结算。</w:t>
      </w:r>
    </w:p>
    <w:p w14:paraId="477A9819">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如在该工程涉及的道路修复工程实施前，政府相关部门调整了道路修复和费用收取模式，以新政策为准对合同范围、费用等进行相应调整。</w:t>
      </w:r>
    </w:p>
    <w:p w14:paraId="05BEF615">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（3）</w:t>
      </w:r>
      <w:r>
        <w:rPr>
          <w:rFonts w:hint="eastAsia" w:hAnsi="宋体"/>
          <w:b w:val="0"/>
          <w:bCs/>
          <w:color w:val="auto"/>
          <w:sz w:val="21"/>
          <w:szCs w:val="21"/>
          <w:highlight w:val="none"/>
          <w:u w:val="single"/>
        </w:rPr>
        <w:t>路面修复（非市政路面修复部分）</w:t>
      </w:r>
    </w:p>
    <w:p w14:paraId="506D73FD">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①属于公路局管辖部分，且公路部门能开具收费凭证的，按公路部门开具的收费凭证结算</w:t>
      </w:r>
      <w:r>
        <w:rPr>
          <w:rFonts w:hint="eastAsia" w:ascii="宋体" w:hAnsi="宋体"/>
          <w:b w:val="0"/>
          <w:bCs/>
          <w:color w:val="auto"/>
          <w:sz w:val="21"/>
          <w:szCs w:val="21"/>
          <w:highlight w:val="none"/>
          <w:u w:val="single"/>
          <w:lang w:eastAsia="zh-CN"/>
        </w:rPr>
        <w:t>；</w:t>
      </w:r>
      <w:r>
        <w:rPr>
          <w:rFonts w:hint="eastAsia" w:ascii="宋体" w:hAnsi="宋体"/>
          <w:b w:val="0"/>
          <w:bCs/>
          <w:color w:val="auto"/>
          <w:sz w:val="21"/>
          <w:szCs w:val="21"/>
          <w:highlight w:val="none"/>
          <w:u w:val="single"/>
        </w:rPr>
        <w:t>公路局未有明确费用标准的，费用标准参照《广东省市政工程综合定额（2018）》《广东省通用安装工程综合定额（2018）》及其计价程序，人工材料机械价差调整按广州市建设工程造价管理站发布的该项工作开工日期当月调差文件计取价差，由承包人按实际施工图纸计量，并乘以中标下浮率计算，待工程整体完工后由第三方造价审核机构审核，与主合同一并结算。</w:t>
      </w:r>
    </w:p>
    <w:p w14:paraId="439F39F5">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②其余路面修复工程（既不属于市政路、也不属于公路局管辖部分的）：按实际工程量并计取中标下浮率进行结算。费用标准参照《广东省市政工程综合定额（2018）》《广东省通用安装工程综合定额（2018）》及其计价程序，人工材料机械价差调整按广州市建设工程造价管理站发布的该项工作开工日期当月调差文件计取价差，由承包人按实际施工图纸计量，并乘以中标下浮率计算，待工程整体完工后由第三方造价审核机构审核，与主合同一并结算。</w:t>
      </w:r>
    </w:p>
    <w:p w14:paraId="15198427">
      <w:pPr>
        <w:pStyle w:val="6"/>
        <w:keepNext w:val="0"/>
        <w:keepLines w:val="0"/>
        <w:pageBreakBefore w:val="0"/>
        <w:widowControl w:val="0"/>
        <w:kinsoku/>
        <w:wordWrap/>
        <w:overflowPunct/>
        <w:topLinePunct w:val="0"/>
        <w:bidi w:val="0"/>
        <w:snapToGrid/>
        <w:spacing w:line="360" w:lineRule="auto"/>
        <w:ind w:firstLine="42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（4）</w:t>
      </w:r>
      <w:r>
        <w:rPr>
          <w:rFonts w:hint="eastAsia" w:hAnsi="宋体"/>
          <w:b w:val="0"/>
          <w:bCs/>
          <w:color w:val="auto"/>
          <w:sz w:val="21"/>
          <w:szCs w:val="21"/>
          <w:highlight w:val="none"/>
          <w:u w:val="single"/>
          <w:lang w:val="en-US" w:eastAsia="zh-CN"/>
        </w:rPr>
        <w:t>其他</w:t>
      </w:r>
      <w:r>
        <w:rPr>
          <w:rFonts w:hint="eastAsia" w:ascii="宋体" w:hAnsi="宋体"/>
          <w:b w:val="0"/>
          <w:bCs/>
          <w:color w:val="auto"/>
          <w:sz w:val="21"/>
          <w:szCs w:val="21"/>
          <w:highlight w:val="none"/>
          <w:u w:val="single"/>
        </w:rPr>
        <w:t>管线迁移及悬吊保护</w:t>
      </w:r>
    </w:p>
    <w:p w14:paraId="72B0127D">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按实际工程量并计取中标下浮率进行结算。费用标准参照《广东省市政工程综合定额（2018）》《广东省房屋建筑与装饰工程综合定额（2018）》《广东省通用安装工程综合定额（2018）》及其计价程序，人工材料机械价差调整按广州市建设工程造价管理站发布的该项工作开工日期当月调差文件计取价差，若涉及其他行业定额的按其行业定额及其计价程序。无可套取定额的，按相关收费文件或合同计算。待工程整体完工后由第三方造价审核机构审核，与主合同一并结算。</w:t>
      </w:r>
    </w:p>
    <w:p w14:paraId="0E4B31B5">
      <w:pPr>
        <w:pStyle w:val="6"/>
        <w:keepNext w:val="0"/>
        <w:keepLines w:val="0"/>
        <w:pageBreakBefore w:val="0"/>
        <w:widowControl w:val="0"/>
        <w:kinsoku/>
        <w:wordWrap/>
        <w:overflowPunct/>
        <w:topLinePunct w:val="0"/>
        <w:bidi w:val="0"/>
        <w:snapToGrid/>
        <w:spacing w:line="360" w:lineRule="auto"/>
        <w:ind w:firstLine="42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hAnsi="宋体"/>
          <w:b w:val="0"/>
          <w:bCs/>
          <w:color w:val="auto"/>
          <w:sz w:val="21"/>
          <w:szCs w:val="21"/>
          <w:highlight w:val="none"/>
          <w:u w:val="single"/>
          <w:lang w:val="en-US" w:eastAsia="zh-CN"/>
        </w:rPr>
        <w:t>5</w:t>
      </w:r>
      <w:r>
        <w:rPr>
          <w:rFonts w:hint="eastAsia" w:ascii="宋体" w:hAnsi="宋体"/>
          <w:b w:val="0"/>
          <w:bCs/>
          <w:color w:val="auto"/>
          <w:sz w:val="21"/>
          <w:szCs w:val="21"/>
          <w:highlight w:val="none"/>
          <w:u w:val="single"/>
        </w:rPr>
        <w:t>）20kV及以下电力线路迁改工程</w:t>
      </w:r>
    </w:p>
    <w:p w14:paraId="787A9BD0">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按实际工程量并计取中标下浮率进行结算。费用标准参照《20kV及以下配电网工程建设预算编制与计算规定》（20</w:t>
      </w:r>
      <w:r>
        <w:rPr>
          <w:rFonts w:hint="eastAsia" w:ascii="宋体" w:hAnsi="宋体"/>
          <w:b w:val="0"/>
          <w:bCs/>
          <w:color w:val="auto"/>
          <w:sz w:val="21"/>
          <w:szCs w:val="21"/>
          <w:highlight w:val="none"/>
          <w:u w:val="single"/>
          <w:lang w:val="en-US" w:eastAsia="zh-CN"/>
        </w:rPr>
        <w:t>22</w:t>
      </w:r>
      <w:r>
        <w:rPr>
          <w:rFonts w:hint="eastAsia" w:ascii="宋体" w:hAnsi="宋体"/>
          <w:b w:val="0"/>
          <w:bCs/>
          <w:color w:val="auto"/>
          <w:sz w:val="21"/>
          <w:szCs w:val="21"/>
          <w:highlight w:val="none"/>
          <w:u w:val="single"/>
        </w:rPr>
        <w:t>年版）；定额执行《20kV及以下配电网工程预算定额》（20</w:t>
      </w:r>
      <w:r>
        <w:rPr>
          <w:rFonts w:hint="eastAsia" w:ascii="宋体" w:hAnsi="宋体"/>
          <w:b w:val="0"/>
          <w:bCs/>
          <w:color w:val="auto"/>
          <w:sz w:val="21"/>
          <w:szCs w:val="21"/>
          <w:highlight w:val="none"/>
          <w:u w:val="single"/>
          <w:lang w:val="en-US" w:eastAsia="zh-CN"/>
        </w:rPr>
        <w:t>22</w:t>
      </w:r>
      <w:r>
        <w:rPr>
          <w:rFonts w:hint="eastAsia" w:ascii="宋体" w:hAnsi="宋体"/>
          <w:b w:val="0"/>
          <w:bCs/>
          <w:color w:val="auto"/>
          <w:sz w:val="21"/>
          <w:szCs w:val="21"/>
          <w:highlight w:val="none"/>
          <w:u w:val="single"/>
        </w:rPr>
        <w:t>年版），人工材料机械价差调整按广州市建设工程造价管理站发布的该项工作开工日期当月调差文件计取价差。无可套取定额的或涉及赔偿，按相关收费文件或合同计算。待工程整体完工后由第三方造价审核机构审核，与主合同一并结算。</w:t>
      </w:r>
    </w:p>
    <w:p w14:paraId="2B8659F2">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eastAsia="宋体"/>
          <w:b w:val="0"/>
          <w:bCs/>
          <w:color w:val="auto"/>
          <w:sz w:val="21"/>
          <w:szCs w:val="21"/>
          <w:highlight w:val="none"/>
          <w:u w:val="single"/>
          <w:lang w:val="en-US" w:eastAsia="zh-CN"/>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6</w:t>
      </w: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专业通信</w:t>
      </w:r>
      <w:r>
        <w:rPr>
          <w:rFonts w:hint="eastAsia" w:ascii="宋体" w:hAnsi="宋体"/>
          <w:b w:val="0"/>
          <w:bCs/>
          <w:color w:val="auto"/>
          <w:sz w:val="21"/>
          <w:szCs w:val="21"/>
          <w:highlight w:val="none"/>
          <w:u w:val="single"/>
        </w:rPr>
        <w:t>工程</w:t>
      </w:r>
      <w:r>
        <w:rPr>
          <w:rFonts w:hint="eastAsia" w:ascii="宋体" w:hAnsi="宋体"/>
          <w:b w:val="0"/>
          <w:bCs/>
          <w:color w:val="auto"/>
          <w:sz w:val="21"/>
          <w:szCs w:val="21"/>
          <w:highlight w:val="none"/>
          <w:u w:val="single"/>
          <w:lang w:val="en-US" w:eastAsia="zh-CN"/>
        </w:rPr>
        <w:t>迁移</w:t>
      </w:r>
    </w:p>
    <w:p w14:paraId="1733FC62">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ascii="宋体" w:hAnsi="宋体" w:eastAsia="宋体" w:cs="宋体"/>
          <w:b w:val="0"/>
          <w:bCs/>
          <w:color w:val="auto"/>
          <w:sz w:val="21"/>
          <w:szCs w:val="21"/>
          <w:highlight w:val="none"/>
          <w:u w:val="single"/>
        </w:rPr>
        <w:t>按实际工程量并计取中标下浮率进行结算。费用标准参照《信息通信建设工程预算定额（2017）》及其计价程序，人工材料机械价差调整按广州市建设工程造价管理站发布的该项工作开工日期当月调差文件计取价差，若涉及其他行业定额的按其行业定额及其计价程序。无可套取定额的，按相关收费文件或合同计算。待工程整体完工后由第三方造价审核机构审核，与主合同一并结算。</w:t>
      </w:r>
    </w:p>
    <w:p w14:paraId="70328473">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7</w:t>
      </w: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光伏</w:t>
      </w:r>
      <w:r>
        <w:rPr>
          <w:rFonts w:hint="eastAsia" w:ascii="宋体" w:hAnsi="宋体"/>
          <w:b w:val="0"/>
          <w:bCs/>
          <w:color w:val="auto"/>
          <w:sz w:val="21"/>
          <w:szCs w:val="21"/>
          <w:highlight w:val="none"/>
          <w:u w:val="single"/>
        </w:rPr>
        <w:t>工程</w:t>
      </w:r>
    </w:p>
    <w:p w14:paraId="41CBE6F1">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按实际工程量并计取中标下浮率进行结算。</w:t>
      </w:r>
      <w:r>
        <w:rPr>
          <w:rFonts w:ascii="宋体" w:hAnsi="宋体" w:eastAsia="宋体" w:cs="宋体"/>
          <w:b w:val="0"/>
          <w:bCs/>
          <w:color w:val="auto"/>
          <w:sz w:val="21"/>
          <w:szCs w:val="21"/>
          <w:highlight w:val="none"/>
          <w:u w:val="single"/>
        </w:rPr>
        <w:t>费用标准</w:t>
      </w:r>
      <w:r>
        <w:rPr>
          <w:rFonts w:hint="eastAsia" w:hAnsi="宋体" w:cs="宋体"/>
          <w:b w:val="0"/>
          <w:bCs/>
          <w:color w:val="auto"/>
          <w:sz w:val="21"/>
          <w:szCs w:val="21"/>
          <w:highlight w:val="none"/>
          <w:u w:val="single"/>
          <w:lang w:val="en-US" w:eastAsia="zh-CN"/>
        </w:rPr>
        <w:t>优先</w:t>
      </w:r>
      <w:r>
        <w:rPr>
          <w:rFonts w:hint="eastAsia" w:hAnsi="宋体" w:cs="宋体"/>
          <w:bCs/>
          <w:color w:val="auto"/>
          <w:szCs w:val="21"/>
          <w:highlight w:val="none"/>
          <w:u w:val="single"/>
        </w:rPr>
        <w:t>《20kV及以下配电网工程建设预算编制与计算规定》（2022年版），定额执行《20kV及以下配电网工程预算定额》（2022年版），其次可</w:t>
      </w:r>
      <w:r>
        <w:rPr>
          <w:rFonts w:ascii="宋体" w:hAnsi="宋体" w:eastAsia="宋体" w:cs="宋体"/>
          <w:b w:val="0"/>
          <w:bCs/>
          <w:color w:val="auto"/>
          <w:sz w:val="21"/>
          <w:szCs w:val="21"/>
          <w:highlight w:val="none"/>
          <w:u w:val="single"/>
        </w:rPr>
        <w:t>参照《光伏发电工程概算定额（NB/T 32035-2016）》及其计价程序，若涉及行业定额的按其行业定额及其计价程序；人工材料机械价差调整按广州市建设工程造价管理站发布的该项工作开工日期当月调差文件计取价差。无可套取定额的，按相关收费文件或合同计算。待工程整体完工后由第三方造价审核机构审核，与主合同一并结算。</w:t>
      </w:r>
    </w:p>
    <w:p w14:paraId="643BC0FC">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8</w:t>
      </w:r>
      <w:r>
        <w:rPr>
          <w:rFonts w:hint="eastAsia" w:ascii="宋体" w:hAnsi="宋体"/>
          <w:b w:val="0"/>
          <w:bCs/>
          <w:color w:val="auto"/>
          <w:sz w:val="21"/>
          <w:szCs w:val="21"/>
          <w:highlight w:val="none"/>
          <w:u w:val="single"/>
        </w:rPr>
        <w:t>）绿化迁移及恢复</w:t>
      </w:r>
    </w:p>
    <w:p w14:paraId="110B54EE">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按实际工程量并计取中标下浮率进行结算。费用标准参照《广东省园林绿化工程综合定额（2018）》《广东省市政工程综合定额（2018）》《广东省房屋建筑与装饰工程综合定额（2018）》《广东省通用安装工程综合定额（2018）》及其计价程序，人工材料机械价差调整按广州市建设工程造价管理站发布的该项工作开工日期当月调差文件计取价差，若涉及行业定额的按其行业定额及其计价程序。无可套取定额的，按相关收费文件或合同计算。待工程整体完工后由第三方造价审核机构审核，与主合同一并结算。</w:t>
      </w:r>
    </w:p>
    <w:p w14:paraId="03664B42">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9</w:t>
      </w:r>
      <w:r>
        <w:rPr>
          <w:rFonts w:hint="eastAsia" w:ascii="宋体" w:hAnsi="宋体"/>
          <w:b w:val="0"/>
          <w:bCs/>
          <w:color w:val="auto"/>
          <w:sz w:val="21"/>
          <w:szCs w:val="21"/>
          <w:highlight w:val="none"/>
          <w:u w:val="single"/>
        </w:rPr>
        <w:t>）复耕复垦</w:t>
      </w:r>
    </w:p>
    <w:p w14:paraId="1ACFF185">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按实际工程量并计取中标下浮率进行结算。费用标准参照《广东省园林绿化综合定额（2018）》《广东省市政工程综合定额（2018）》《广东省房屋建筑与装饰工程综合定额（2018）》及其计价程序，人工材料机械价差调整按广州市建设工程造价管理站发布的该项工作开工日期当月调差文件计取价差，若涉及行业定额的按其行业定额及其计价程序。无可套取定额的，按相关收费文件或合同计算。待工程整体完工后由第三方造价审核机构审核，与主合同一并结算。</w:t>
      </w:r>
    </w:p>
    <w:p w14:paraId="27988F73">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10</w:t>
      </w:r>
      <w:r>
        <w:rPr>
          <w:rFonts w:hint="eastAsia" w:ascii="宋体" w:hAnsi="宋体"/>
          <w:b w:val="0"/>
          <w:bCs/>
          <w:color w:val="auto"/>
          <w:sz w:val="21"/>
          <w:szCs w:val="21"/>
          <w:highlight w:val="none"/>
          <w:u w:val="single"/>
        </w:rPr>
        <w:t>）快速路交通管制</w:t>
      </w:r>
    </w:p>
    <w:p w14:paraId="6B898AAC">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结算时按实相关收费文件或合同计算；若承包人既无法定的承包资格又无法定的分包权的，由招标人另行发包；若以上规则均不适用，中标后双方协商约定。</w:t>
      </w:r>
    </w:p>
    <w:p w14:paraId="65B1C078">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（1</w:t>
      </w:r>
      <w:r>
        <w:rPr>
          <w:rFonts w:hint="eastAsia" w:ascii="宋体" w:hAnsi="宋体"/>
          <w:b w:val="0"/>
          <w:bCs/>
          <w:color w:val="auto"/>
          <w:sz w:val="21"/>
          <w:szCs w:val="21"/>
          <w:highlight w:val="none"/>
          <w:u w:val="single"/>
          <w:lang w:val="en-US" w:eastAsia="zh-CN"/>
        </w:rPr>
        <w:t>1</w:t>
      </w:r>
      <w:r>
        <w:rPr>
          <w:rFonts w:hint="eastAsia" w:ascii="宋体" w:hAnsi="宋体"/>
          <w:b w:val="0"/>
          <w:bCs/>
          <w:color w:val="auto"/>
          <w:sz w:val="21"/>
          <w:szCs w:val="21"/>
          <w:highlight w:val="none"/>
          <w:u w:val="single"/>
        </w:rPr>
        <w:t>） 铁路红线用地占用费、铁路临时用地费、铁路相关部门施工配合费、铁路运输补偿费、铁路栏栅开口费、穿铁路施工行车干扰增加费、铁路消防报建费</w:t>
      </w:r>
    </w:p>
    <w:p w14:paraId="7C432802">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cs="宋体"/>
          <w:b w:val="0"/>
          <w:bCs/>
          <w:color w:val="auto"/>
          <w:kern w:val="0"/>
          <w:sz w:val="21"/>
          <w:szCs w:val="21"/>
          <w:highlight w:val="none"/>
          <w:u w:val="single"/>
        </w:rPr>
      </w:pPr>
      <w:r>
        <w:rPr>
          <w:rFonts w:hint="eastAsia" w:ascii="宋体" w:hAnsi="宋体" w:cs="宋体"/>
          <w:b w:val="0"/>
          <w:bCs/>
          <w:color w:val="auto"/>
          <w:kern w:val="0"/>
          <w:sz w:val="21"/>
          <w:szCs w:val="21"/>
          <w:highlight w:val="none"/>
          <w:u w:val="single"/>
        </w:rPr>
        <w:t>以上各项如实际发生，结算时以铁路部门开具的发票（需含由铁路部门确认的收费内容明细），或实施期间铁路部门有效收费标准文件作为依据按实结算。如收费标准需要按工期计价的，需要由铁路部门确认，或监理单位及建设单位共同签证。在该工程涉及的跨越配合实施前，若铁路部门调整了费用收取模式，则以最新的收费标准对合同范围、费用等进行相应调整。</w:t>
      </w:r>
    </w:p>
    <w:p w14:paraId="16C438FC">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（1</w:t>
      </w:r>
      <w:r>
        <w:rPr>
          <w:rFonts w:hint="eastAsia" w:ascii="宋体" w:hAnsi="宋体"/>
          <w:b w:val="0"/>
          <w:bCs/>
          <w:color w:val="auto"/>
          <w:sz w:val="21"/>
          <w:szCs w:val="21"/>
          <w:highlight w:val="none"/>
          <w:u w:val="single"/>
          <w:lang w:val="en-US" w:eastAsia="zh-CN"/>
        </w:rPr>
        <w:t>2</w:t>
      </w:r>
      <w:r>
        <w:rPr>
          <w:rFonts w:hint="eastAsia" w:ascii="宋体" w:hAnsi="宋体"/>
          <w:b w:val="0"/>
          <w:bCs/>
          <w:color w:val="auto"/>
          <w:sz w:val="21"/>
          <w:szCs w:val="21"/>
          <w:highlight w:val="none"/>
          <w:u w:val="single"/>
        </w:rPr>
        <w:t>）与铁路相关的管线防护、铁路线路加固，受下穿铁路顶管施工影响的地方通信线路迁改、无线基站防护，通信工程、信号工程、电力及接触网工程</w:t>
      </w:r>
    </w:p>
    <w:p w14:paraId="790E4B49">
      <w:pPr>
        <w:pStyle w:val="5"/>
        <w:keepNext w:val="0"/>
        <w:keepLines w:val="0"/>
        <w:pageBreakBefore w:val="0"/>
        <w:widowControl w:val="0"/>
        <w:numPr>
          <w:ilvl w:val="0"/>
          <w:numId w:val="3"/>
        </w:numPr>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lang w:eastAsia="zh-CN"/>
        </w:rPr>
        <w:t>交通疏解</w:t>
      </w:r>
    </w:p>
    <w:p w14:paraId="2EB1908B">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cs="宋体"/>
          <w:b w:val="0"/>
          <w:bCs/>
          <w:color w:val="auto"/>
          <w:kern w:val="0"/>
          <w:sz w:val="21"/>
          <w:szCs w:val="21"/>
          <w:highlight w:val="none"/>
          <w:u w:val="single"/>
        </w:rPr>
      </w:pPr>
      <w:r>
        <w:rPr>
          <w:rFonts w:hint="eastAsia" w:ascii="宋体" w:hAnsi="宋体"/>
          <w:bCs/>
          <w:color w:val="auto"/>
          <w:szCs w:val="21"/>
          <w:highlight w:val="none"/>
          <w:u w:val="single"/>
        </w:rPr>
        <w:t>按实际工程量并计取中标下浮率进行结算。费用标准参照《广东省市政工程综合定额（2018）》《广东省房屋建筑与装饰工程综合定额（2018）》《广东省通用安装工程综合定额（2018）》及其计价程序，人工材料机械价差调整按广州市建设工程造价管理站发布的该项工作开工日期当月调差文件计取价差，若涉及其他行业定额的按其行业定额及其计价程序</w:t>
      </w:r>
      <w:r>
        <w:rPr>
          <w:rFonts w:hint="eastAsia" w:ascii="宋体" w:hAnsi="宋体"/>
          <w:bCs/>
          <w:color w:val="auto"/>
          <w:szCs w:val="21"/>
          <w:highlight w:val="none"/>
          <w:u w:val="single"/>
          <w:lang w:eastAsia="zh-CN"/>
        </w:rPr>
        <w:t>，</w:t>
      </w:r>
      <w:r>
        <w:rPr>
          <w:rFonts w:hint="eastAsia" w:ascii="宋体" w:hAnsi="宋体"/>
          <w:bCs/>
          <w:color w:val="auto"/>
          <w:szCs w:val="21"/>
          <w:highlight w:val="none"/>
          <w:u w:val="single"/>
          <w:lang w:val="en-US" w:eastAsia="zh-CN"/>
        </w:rPr>
        <w:t>其中交通疏解员250元/工日（含税）</w:t>
      </w:r>
      <w:r>
        <w:rPr>
          <w:rFonts w:hint="eastAsia" w:ascii="宋体" w:hAnsi="宋体"/>
          <w:bCs/>
          <w:color w:val="auto"/>
          <w:szCs w:val="21"/>
          <w:highlight w:val="none"/>
          <w:u w:val="single"/>
        </w:rPr>
        <w:t>；无可套取定额的，按相关收费文件或合同计算。待工程整体完工后由第三方造价审核机构审核，与主合同一并结算。</w:t>
      </w:r>
    </w:p>
    <w:p w14:paraId="3231F82B">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cs="宋体"/>
          <w:b w:val="0"/>
          <w:bCs/>
          <w:color w:val="auto"/>
          <w:kern w:val="0"/>
          <w:sz w:val="21"/>
          <w:szCs w:val="21"/>
          <w:highlight w:val="none"/>
          <w:u w:val="single"/>
        </w:rPr>
      </w:pPr>
      <w:r>
        <w:rPr>
          <w:rFonts w:hint="eastAsia" w:ascii="宋体" w:hAnsi="宋体" w:cs="宋体"/>
          <w:b w:val="0"/>
          <w:bCs/>
          <w:color w:val="auto"/>
          <w:kern w:val="0"/>
          <w:sz w:val="21"/>
          <w:szCs w:val="21"/>
          <w:highlight w:val="none"/>
          <w:u w:val="single"/>
        </w:rPr>
        <w:t>以上各项如实际发生，结算时按实际工程量，依据《广东省市政工程综合定额（2018）》《广东省房屋建筑与装饰工程综合定额（2018）》《广东省通用安装工程综合定额（2018）》及其计价程序，人工材料机械价差调整按广州市建设工程造价管理站发布的该项工作开工日期当月调差文件计取价差，若以上定额不能满足计价需要，不足部分可参照行业定额及其计价程序计算。无论采用何种定额均需计取中标下浮率进行结算。</w:t>
      </w:r>
    </w:p>
    <w:p w14:paraId="6A0CF579">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（1</w:t>
      </w:r>
      <w:r>
        <w:rPr>
          <w:rFonts w:hint="eastAsia" w:ascii="宋体" w:hAnsi="宋体"/>
          <w:b w:val="0"/>
          <w:bCs/>
          <w:color w:val="auto"/>
          <w:sz w:val="21"/>
          <w:szCs w:val="21"/>
          <w:highlight w:val="none"/>
          <w:u w:val="single"/>
          <w:lang w:val="en-US" w:eastAsia="zh-CN"/>
        </w:rPr>
        <w:t>4</w:t>
      </w:r>
      <w:r>
        <w:rPr>
          <w:rFonts w:hint="eastAsia" w:ascii="宋体" w:hAnsi="宋体"/>
          <w:b w:val="0"/>
          <w:bCs/>
          <w:color w:val="auto"/>
          <w:sz w:val="21"/>
          <w:szCs w:val="21"/>
          <w:highlight w:val="none"/>
          <w:u w:val="single"/>
        </w:rPr>
        <w:t>）其他：                /                 。</w:t>
      </w:r>
    </w:p>
    <w:p w14:paraId="25CA8C85">
      <w:pPr>
        <w:pStyle w:val="5"/>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13.</w:t>
      </w:r>
      <w:r>
        <w:rPr>
          <w:rFonts w:ascii="宋体" w:hAnsi="宋体"/>
          <w:color w:val="auto"/>
          <w:szCs w:val="21"/>
          <w:highlight w:val="none"/>
        </w:rPr>
        <w:t>7</w:t>
      </w:r>
      <w:r>
        <w:rPr>
          <w:rFonts w:hint="eastAsia" w:ascii="宋体" w:hAnsi="宋体"/>
          <w:color w:val="auto"/>
          <w:szCs w:val="21"/>
          <w:highlight w:val="none"/>
        </w:rPr>
        <w:t xml:space="preserve"> </w:t>
      </w:r>
      <w:r>
        <w:rPr>
          <w:rFonts w:hint="eastAsia" w:ascii="宋体" w:hAnsi="宋体"/>
          <w:color w:val="auto"/>
          <w:szCs w:val="21"/>
          <w:highlight w:val="none"/>
        </w:rPr>
        <w:tab/>
      </w:r>
      <w:r>
        <w:rPr>
          <w:rFonts w:hint="eastAsia" w:ascii="宋体" w:hAnsi="宋体"/>
          <w:color w:val="auto"/>
          <w:szCs w:val="21"/>
          <w:highlight w:val="none"/>
        </w:rPr>
        <w:t xml:space="preserve">法规变化引起的调整 </w:t>
      </w:r>
    </w:p>
    <w:p w14:paraId="6F1AEDC3">
      <w:pPr>
        <w:pStyle w:val="11"/>
        <w:keepNext w:val="0"/>
        <w:keepLines w:val="0"/>
        <w:pageBreakBefore w:val="0"/>
        <w:kinsoku/>
        <w:wordWrap/>
        <w:overflowPunct/>
        <w:topLinePunct w:val="0"/>
        <w:bidi w:val="0"/>
        <w:spacing w:after="0" w:line="360" w:lineRule="auto"/>
        <w:ind w:left="0" w:leftChars="0" w:firstLine="422" w:firstLineChars="200"/>
        <w:outlineLvl w:val="9"/>
        <w:rPr>
          <w:rFonts w:hint="eastAsia" w:ascii="宋体" w:hAnsi="宋体"/>
          <w:color w:val="auto"/>
          <w:szCs w:val="21"/>
          <w:highlight w:val="none"/>
          <w:shd w:val="clear" w:color="auto" w:fill="auto"/>
        </w:rPr>
      </w:pPr>
      <w:r>
        <w:rPr>
          <w:rFonts w:hint="eastAsia" w:ascii="宋体"/>
          <w:color w:val="auto"/>
          <w:szCs w:val="21"/>
          <w:highlight w:val="none"/>
          <w:shd w:val="clear" w:color="auto" w:fill="auto"/>
          <w:lang w:val="en-US" w:eastAsia="zh-CN"/>
        </w:rPr>
        <w:t>增加</w:t>
      </w:r>
      <w:r>
        <w:rPr>
          <w:rFonts w:hint="eastAsia" w:ascii="宋体" w:hAnsi="宋体"/>
          <w:color w:val="auto"/>
          <w:szCs w:val="21"/>
          <w:highlight w:val="none"/>
          <w:shd w:val="clear" w:color="auto" w:fill="auto"/>
        </w:rPr>
        <w:t>以下内容作为13.</w:t>
      </w:r>
      <w:r>
        <w:rPr>
          <w:rFonts w:hint="eastAsia" w:ascii="宋体"/>
          <w:color w:val="auto"/>
          <w:szCs w:val="21"/>
          <w:highlight w:val="none"/>
          <w:shd w:val="clear" w:color="auto" w:fill="auto"/>
          <w:lang w:val="en-US" w:eastAsia="zh-CN"/>
        </w:rPr>
        <w:t>7</w:t>
      </w:r>
      <w:r>
        <w:rPr>
          <w:rFonts w:hint="eastAsia" w:ascii="宋体" w:hAnsi="宋体"/>
          <w:color w:val="auto"/>
          <w:szCs w:val="21"/>
          <w:highlight w:val="none"/>
          <w:shd w:val="clear" w:color="auto" w:fill="auto"/>
        </w:rPr>
        <w:t>款：</w:t>
      </w:r>
    </w:p>
    <w:p w14:paraId="40D045E6">
      <w:pPr>
        <w:pStyle w:val="11"/>
        <w:keepNext w:val="0"/>
        <w:keepLines w:val="0"/>
        <w:pageBreakBefore w:val="0"/>
        <w:shd w:val="clear" w:color="auto" w:fill="auto"/>
        <w:kinsoku/>
        <w:wordWrap/>
        <w:overflowPunct/>
        <w:topLinePunct w:val="0"/>
        <w:bidi w:val="0"/>
        <w:spacing w:after="0" w:line="360" w:lineRule="auto"/>
        <w:ind w:left="0" w:leftChars="0" w:firstLine="420" w:firstLineChars="200"/>
        <w:outlineLvl w:val="9"/>
        <w:rPr>
          <w:rFonts w:hint="eastAsia" w:ascii="宋体"/>
          <w:b w:val="0"/>
          <w:bCs/>
          <w:color w:val="auto"/>
          <w:szCs w:val="21"/>
          <w:highlight w:val="none"/>
          <w:shd w:val="clear" w:color="auto" w:fill="auto"/>
          <w:lang w:val="en-US" w:eastAsia="zh-CN"/>
        </w:rPr>
      </w:pPr>
      <w:r>
        <w:rPr>
          <w:rFonts w:hint="eastAsia" w:ascii="宋体"/>
          <w:b w:val="0"/>
          <w:bCs/>
          <w:color w:val="auto"/>
          <w:szCs w:val="21"/>
          <w:highlight w:val="none"/>
          <w:shd w:val="clear" w:color="auto" w:fill="auto"/>
          <w:lang w:val="en-US" w:eastAsia="zh-CN"/>
        </w:rPr>
        <w:t>确定正式合同价时调整。</w:t>
      </w:r>
    </w:p>
    <w:p w14:paraId="1D6BC0E2">
      <w:pPr>
        <w:pStyle w:val="5"/>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 xml:space="preserve">13.8 </w:t>
      </w:r>
      <w:r>
        <w:rPr>
          <w:rFonts w:hint="eastAsia" w:ascii="宋体" w:hAnsi="宋体"/>
          <w:color w:val="auto"/>
          <w:szCs w:val="21"/>
          <w:highlight w:val="none"/>
        </w:rPr>
        <w:tab/>
      </w:r>
      <w:r>
        <w:rPr>
          <w:rFonts w:hint="eastAsia" w:ascii="宋体" w:hAnsi="宋体"/>
          <w:color w:val="auto"/>
          <w:szCs w:val="21"/>
          <w:highlight w:val="none"/>
        </w:rPr>
        <w:t>费用变化引起的调整</w:t>
      </w:r>
    </w:p>
    <w:p w14:paraId="502837F3">
      <w:pPr>
        <w:pStyle w:val="5"/>
        <w:keepNext w:val="0"/>
        <w:keepLines w:val="0"/>
        <w:pageBreakBefore w:val="0"/>
        <w:kinsoku/>
        <w:wordWrap/>
        <w:overflowPunct/>
        <w:topLinePunct w:val="0"/>
        <w:bidi w:val="0"/>
        <w:spacing w:after="0" w:line="360" w:lineRule="auto"/>
        <w:ind w:left="0" w:leftChars="0" w:firstLine="422" w:firstLineChars="200"/>
        <w:outlineLvl w:val="9"/>
        <w:rPr>
          <w:rFonts w:hint="eastAsia" w:ascii="宋体" w:hAnsi="宋体" w:eastAsia="宋体" w:cs="Times New Roman"/>
          <w:b/>
          <w:bCs/>
          <w:color w:val="auto"/>
          <w:szCs w:val="21"/>
          <w:highlight w:val="none"/>
          <w:shd w:val="clear" w:color="auto" w:fill="auto"/>
        </w:rPr>
      </w:pPr>
      <w:r>
        <w:rPr>
          <w:rFonts w:hint="eastAsia" w:ascii="宋体" w:hAnsi="宋体" w:eastAsia="宋体" w:cs="Times New Roman"/>
          <w:b/>
          <w:bCs/>
          <w:color w:val="auto"/>
          <w:szCs w:val="21"/>
          <w:highlight w:val="none"/>
          <w:shd w:val="clear" w:color="auto" w:fill="auto"/>
          <w:lang w:val="en-US" w:eastAsia="zh-CN"/>
        </w:rPr>
        <w:t>替换</w:t>
      </w:r>
      <w:r>
        <w:rPr>
          <w:rFonts w:hint="eastAsia" w:ascii="宋体" w:hAnsi="宋体" w:eastAsia="宋体" w:cs="Times New Roman"/>
          <w:b/>
          <w:bCs/>
          <w:color w:val="auto"/>
          <w:szCs w:val="21"/>
          <w:highlight w:val="none"/>
          <w:shd w:val="clear" w:color="auto" w:fill="auto"/>
        </w:rPr>
        <w:t>以下内容</w:t>
      </w:r>
      <w:r>
        <w:rPr>
          <w:rFonts w:hint="eastAsia" w:ascii="宋体" w:hAnsi="宋体" w:cs="Times New Roman"/>
          <w:b/>
          <w:bCs/>
          <w:color w:val="auto"/>
          <w:szCs w:val="21"/>
          <w:highlight w:val="none"/>
          <w:shd w:val="clear" w:color="auto" w:fill="auto"/>
          <w:lang w:eastAsia="zh-CN"/>
        </w:rPr>
        <w:t>到第</w:t>
      </w:r>
      <w:r>
        <w:rPr>
          <w:rFonts w:hint="eastAsia" w:ascii="宋体" w:hAnsi="宋体" w:eastAsia="宋体" w:cs="Times New Roman"/>
          <w:b/>
          <w:bCs/>
          <w:color w:val="auto"/>
          <w:szCs w:val="21"/>
          <w:highlight w:val="none"/>
          <w:shd w:val="clear" w:color="auto" w:fill="auto"/>
        </w:rPr>
        <w:t>13.</w:t>
      </w:r>
      <w:r>
        <w:rPr>
          <w:rFonts w:hint="eastAsia" w:ascii="宋体" w:hAnsi="宋体" w:eastAsia="宋体" w:cs="Times New Roman"/>
          <w:b/>
          <w:bCs/>
          <w:color w:val="auto"/>
          <w:szCs w:val="21"/>
          <w:highlight w:val="none"/>
          <w:shd w:val="clear" w:color="auto" w:fill="auto"/>
          <w:lang w:val="en-US" w:eastAsia="zh-CN"/>
        </w:rPr>
        <w:t>8</w:t>
      </w:r>
      <w:r>
        <w:rPr>
          <w:rFonts w:hint="eastAsia" w:ascii="宋体" w:hAnsi="宋体" w:eastAsia="宋体" w:cs="Times New Roman"/>
          <w:b/>
          <w:bCs/>
          <w:color w:val="auto"/>
          <w:szCs w:val="21"/>
          <w:highlight w:val="none"/>
          <w:shd w:val="clear" w:color="auto" w:fill="auto"/>
        </w:rPr>
        <w:t>款：</w:t>
      </w:r>
    </w:p>
    <w:p w14:paraId="0AC820D9">
      <w:pPr>
        <w:pStyle w:val="5"/>
        <w:spacing w:after="0" w:line="360" w:lineRule="auto"/>
        <w:ind w:left="0" w:leftChars="0" w:firstLine="422" w:firstLineChars="200"/>
        <w:rPr>
          <w:rFonts w:ascii="宋体" w:hAnsi="宋体"/>
          <w:b/>
          <w:color w:val="auto"/>
          <w:szCs w:val="21"/>
          <w:highlight w:val="none"/>
          <w:shd w:val="clear" w:color="auto" w:fill="auto"/>
        </w:rPr>
      </w:pPr>
      <w:r>
        <w:rPr>
          <w:rFonts w:hint="eastAsia" w:ascii="宋体" w:hAnsi="宋体"/>
          <w:b/>
          <w:color w:val="auto"/>
          <w:szCs w:val="21"/>
          <w:highlight w:val="none"/>
          <w:shd w:val="clear" w:color="auto" w:fill="auto"/>
        </w:rPr>
        <w:t>（二</w:t>
      </w:r>
      <w:r>
        <w:rPr>
          <w:rFonts w:ascii="宋体" w:hAnsi="宋体"/>
          <w:b/>
          <w:color w:val="auto"/>
          <w:szCs w:val="21"/>
          <w:highlight w:val="none"/>
          <w:shd w:val="clear" w:color="auto" w:fill="auto"/>
        </w:rPr>
        <w:t>）</w:t>
      </w:r>
      <w:r>
        <w:rPr>
          <w:rFonts w:hint="eastAsia" w:ascii="宋体" w:hAnsi="宋体"/>
          <w:b/>
          <w:color w:val="auto"/>
          <w:szCs w:val="21"/>
          <w:highlight w:val="none"/>
          <w:shd w:val="clear" w:color="auto" w:fill="auto"/>
        </w:rPr>
        <w:t>定额计价模式的约定：</w:t>
      </w:r>
    </w:p>
    <w:p w14:paraId="3B1A6C26">
      <w:pPr>
        <w:keepNext w:val="0"/>
        <w:keepLines w:val="0"/>
        <w:pageBreakBefore w:val="0"/>
        <w:kinsoku/>
        <w:wordWrap/>
        <w:overflowPunct/>
        <w:topLinePunct w:val="0"/>
        <w:bidi w:val="0"/>
        <w:spacing w:line="360" w:lineRule="auto"/>
        <w:ind w:firstLine="420"/>
        <w:outlineLvl w:val="9"/>
        <w:rPr>
          <w:rFonts w:hint="eastAsia"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本次合同中，因建设需要取消的分项工程项目，按正式合同价款中的相应费用减少合同价款；因建设需要，建设单位委托投标人开展属于本工程的相关建设内容但在本次承包报价范围以外的建设费用，依据第13.3.1款的估价原则增加合同价款。</w:t>
      </w:r>
    </w:p>
    <w:p w14:paraId="71F97AC0">
      <w:pPr>
        <w:keepNext w:val="0"/>
        <w:keepLines w:val="0"/>
        <w:pageBreakBefore w:val="0"/>
        <w:tabs>
          <w:tab w:val="left" w:pos="0"/>
        </w:tabs>
        <w:kinsoku/>
        <w:wordWrap/>
        <w:overflowPunct/>
        <w:topLinePunct w:val="0"/>
        <w:bidi w:val="0"/>
        <w:spacing w:after="120" w:line="360" w:lineRule="auto"/>
        <w:ind w:firstLine="420" w:firstLineChars="200"/>
        <w:outlineLvl w:val="9"/>
        <w:rPr>
          <w:rFonts w:hint="eastAsia"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本次正式合同价款中为包干价的，一般不予调整；正式合同价款中的漏项、错项结算时视为已包括在其他工程子项的报价中，不予调整。因承包人原因造成工程质量达不到规范要求出现报废或返工增加的费用，不予调整。除非是以下情况：</w:t>
      </w:r>
    </w:p>
    <w:p w14:paraId="7281A5E9">
      <w:pPr>
        <w:keepNext w:val="0"/>
        <w:keepLines w:val="0"/>
        <w:pageBreakBefore w:val="0"/>
        <w:numPr>
          <w:ilvl w:val="0"/>
          <w:numId w:val="0"/>
        </w:numPr>
        <w:tabs>
          <w:tab w:val="left" w:pos="0"/>
        </w:tabs>
        <w:kinsoku/>
        <w:wordWrap/>
        <w:overflowPunct/>
        <w:topLinePunct w:val="0"/>
        <w:autoSpaceDE w:val="0"/>
        <w:autoSpaceDN w:val="0"/>
        <w:bidi w:val="0"/>
        <w:adjustRightInd w:val="0"/>
        <w:spacing w:line="360" w:lineRule="auto"/>
        <w:ind w:firstLine="420" w:firstLineChars="200"/>
        <w:outlineLvl w:val="9"/>
        <w:rPr>
          <w:rFonts w:hint="eastAsia"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lang w:eastAsia="zh-CN"/>
        </w:rPr>
        <w:t>（</w:t>
      </w:r>
      <w:r>
        <w:rPr>
          <w:rFonts w:hint="eastAsia" w:ascii="宋体" w:hAnsi="宋体" w:cs="宋体"/>
          <w:color w:val="auto"/>
          <w:szCs w:val="21"/>
          <w:highlight w:val="none"/>
          <w:shd w:val="clear" w:color="auto" w:fill="auto"/>
          <w:lang w:val="en-US" w:eastAsia="zh-CN"/>
        </w:rPr>
        <w:t>a</w:t>
      </w:r>
      <w:r>
        <w:rPr>
          <w:rFonts w:hint="eastAsia" w:ascii="宋体" w:hAnsi="宋体" w:cs="宋体"/>
          <w:color w:val="auto"/>
          <w:szCs w:val="21"/>
          <w:highlight w:val="none"/>
          <w:shd w:val="clear" w:color="auto" w:fill="auto"/>
          <w:lang w:eastAsia="zh-CN"/>
        </w:rPr>
        <w:t>）</w:t>
      </w:r>
      <w:r>
        <w:rPr>
          <w:rFonts w:hint="eastAsia" w:ascii="宋体" w:hAnsi="宋体" w:cs="宋体"/>
          <w:color w:val="auto"/>
          <w:szCs w:val="21"/>
          <w:highlight w:val="none"/>
          <w:shd w:val="clear" w:color="auto" w:fill="auto"/>
        </w:rPr>
        <w:t>经项目发包人和监理工程师确认的现场签证或一项工程【（指招标文件投标格式的表二（甲、乙、丙、丁）的最末一级）】的工程量发生变更，依据第13.3款的原则估价后，经济数额</w:t>
      </w:r>
      <w:r>
        <w:rPr>
          <w:rFonts w:hint="eastAsia" w:ascii="宋体" w:hAnsi="宋体"/>
          <w:color w:val="auto"/>
          <w:szCs w:val="21"/>
          <w:highlight w:val="none"/>
          <w:shd w:val="clear" w:color="auto" w:fill="auto"/>
          <w:lang w:eastAsia="zh-CN"/>
        </w:rPr>
        <w:t>（含编制年价差）</w:t>
      </w:r>
      <w:r>
        <w:rPr>
          <w:rFonts w:hint="eastAsia" w:ascii="宋体" w:hAnsi="宋体" w:cs="宋体"/>
          <w:color w:val="auto"/>
          <w:szCs w:val="21"/>
          <w:highlight w:val="none"/>
          <w:shd w:val="clear" w:color="auto" w:fill="auto"/>
        </w:rPr>
        <w:t>超过H万元及以上时，此时调整原则为双向互调，但只针对该项工程超出H万元部分进行增减调整，与其他项工程无关。否则不予调整。</w:t>
      </w:r>
    </w:p>
    <w:p w14:paraId="4B01F717">
      <w:pPr>
        <w:pStyle w:val="5"/>
        <w:spacing w:after="0" w:line="360" w:lineRule="auto"/>
        <w:ind w:left="0" w:leftChars="0" w:firstLine="420" w:firstLineChars="200"/>
        <w:rPr>
          <w:rFonts w:ascii="宋体" w:hAnsi="宋体"/>
          <w:color w:val="auto"/>
          <w:szCs w:val="21"/>
          <w:highlight w:val="none"/>
          <w:shd w:val="clear" w:color="auto" w:fill="auto"/>
        </w:rPr>
      </w:pPr>
      <w:r>
        <w:rPr>
          <w:rFonts w:ascii="宋体" w:hAnsi="宋体"/>
          <w:color w:val="auto"/>
          <w:szCs w:val="21"/>
          <w:highlight w:val="none"/>
          <w:shd w:val="clear" w:color="auto" w:fill="auto"/>
        </w:rPr>
        <w:t>上述</w:t>
      </w:r>
      <w:r>
        <w:rPr>
          <w:rFonts w:hint="eastAsia" w:ascii="宋体" w:hAnsi="宋体"/>
          <w:color w:val="auto"/>
          <w:szCs w:val="21"/>
          <w:highlight w:val="none"/>
          <w:shd w:val="clear" w:color="auto" w:fill="auto"/>
        </w:rPr>
        <w:t>H</w:t>
      </w:r>
      <w:r>
        <w:rPr>
          <w:rFonts w:ascii="宋体" w:hAnsi="宋体"/>
          <w:color w:val="auto"/>
          <w:szCs w:val="21"/>
          <w:highlight w:val="none"/>
          <w:shd w:val="clear" w:color="auto" w:fill="auto"/>
        </w:rPr>
        <w:t xml:space="preserve">值可下表查得 </w:t>
      </w:r>
      <w:r>
        <w:rPr>
          <w:rFonts w:hint="eastAsia" w:ascii="宋体" w:hAnsi="宋体"/>
          <w:color w:val="auto"/>
          <w:szCs w:val="21"/>
          <w:highlight w:val="none"/>
          <w:shd w:val="clear" w:color="auto" w:fill="auto"/>
        </w:rPr>
        <w:t>[H值按下表第【</w:t>
      </w:r>
      <w:r>
        <w:rPr>
          <w:rFonts w:hint="eastAsia" w:ascii="宋体" w:hAnsi="宋体"/>
          <w:color w:val="auto"/>
          <w:szCs w:val="21"/>
          <w:highlight w:val="none"/>
          <w:u w:val="single"/>
          <w:shd w:val="clear" w:color="auto" w:fill="auto"/>
        </w:rPr>
        <w:t xml:space="preserve">  3  </w:t>
      </w:r>
      <w:r>
        <w:rPr>
          <w:rFonts w:hint="eastAsia" w:ascii="宋体" w:hAnsi="宋体"/>
          <w:color w:val="auto"/>
          <w:szCs w:val="21"/>
          <w:highlight w:val="none"/>
          <w:shd w:val="clear" w:color="auto" w:fill="auto"/>
        </w:rPr>
        <w:t>】确定]</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2278"/>
        <w:gridCol w:w="1559"/>
        <w:gridCol w:w="1417"/>
        <w:gridCol w:w="1560"/>
        <w:gridCol w:w="1092"/>
      </w:tblGrid>
      <w:tr w14:paraId="785D9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3081" w:type="dxa"/>
            <w:gridSpan w:val="2"/>
            <w:noWrap w:val="0"/>
            <w:vAlign w:val="center"/>
          </w:tcPr>
          <w:p w14:paraId="15BCE809">
            <w:pPr>
              <w:pStyle w:val="6"/>
              <w:spacing w:line="360" w:lineRule="auto"/>
              <w:rPr>
                <w:rFonts w:hAnsi="宋体"/>
                <w:color w:val="auto"/>
                <w:szCs w:val="21"/>
                <w:highlight w:val="none"/>
                <w:shd w:val="clear" w:color="auto" w:fill="auto"/>
              </w:rPr>
            </w:pPr>
            <w:r>
              <w:rPr>
                <w:rFonts w:hAnsi="宋体"/>
                <w:color w:val="auto"/>
                <w:szCs w:val="21"/>
                <w:highlight w:val="none"/>
                <w:shd w:val="clear" w:color="auto" w:fill="auto"/>
              </w:rPr>
              <w:t>合同一项工程中标价B</w:t>
            </w:r>
            <w:r>
              <w:rPr>
                <w:rFonts w:hint="eastAsia" w:hAnsi="宋体"/>
                <w:color w:val="auto"/>
                <w:szCs w:val="21"/>
                <w:highlight w:val="none"/>
                <w:shd w:val="clear" w:color="auto" w:fill="auto"/>
              </w:rPr>
              <w:t>（万元）</w:t>
            </w:r>
          </w:p>
        </w:tc>
        <w:tc>
          <w:tcPr>
            <w:tcW w:w="1559" w:type="dxa"/>
            <w:noWrap w:val="0"/>
            <w:vAlign w:val="center"/>
          </w:tcPr>
          <w:p w14:paraId="4DC7BFAA">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r>
              <w:rPr>
                <w:rFonts w:hAnsi="宋体"/>
                <w:color w:val="auto"/>
                <w:szCs w:val="21"/>
                <w:highlight w:val="none"/>
                <w:shd w:val="clear" w:color="auto" w:fill="auto"/>
              </w:rPr>
              <w:t>&lt;B&lt;10</w:t>
            </w:r>
          </w:p>
        </w:tc>
        <w:tc>
          <w:tcPr>
            <w:tcW w:w="1417" w:type="dxa"/>
            <w:noWrap w:val="0"/>
            <w:vAlign w:val="center"/>
          </w:tcPr>
          <w:p w14:paraId="36A714EF">
            <w:pPr>
              <w:pStyle w:val="6"/>
              <w:spacing w:line="360" w:lineRule="auto"/>
              <w:jc w:val="center"/>
              <w:rPr>
                <w:rFonts w:hAnsi="宋体"/>
                <w:color w:val="auto"/>
                <w:szCs w:val="21"/>
                <w:highlight w:val="none"/>
                <w:shd w:val="clear" w:color="auto" w:fill="auto"/>
              </w:rPr>
            </w:pPr>
            <w:r>
              <w:rPr>
                <w:rFonts w:hAnsi="宋体"/>
                <w:color w:val="auto"/>
                <w:szCs w:val="21"/>
                <w:highlight w:val="none"/>
                <w:shd w:val="clear" w:color="auto" w:fill="auto"/>
              </w:rPr>
              <w:t>10≦B&lt;50</w:t>
            </w:r>
          </w:p>
        </w:tc>
        <w:tc>
          <w:tcPr>
            <w:tcW w:w="1560" w:type="dxa"/>
            <w:noWrap w:val="0"/>
            <w:vAlign w:val="center"/>
          </w:tcPr>
          <w:p w14:paraId="304702BF">
            <w:pPr>
              <w:pStyle w:val="6"/>
              <w:spacing w:line="360" w:lineRule="auto"/>
              <w:jc w:val="center"/>
              <w:rPr>
                <w:rFonts w:hAnsi="宋体"/>
                <w:color w:val="auto"/>
                <w:szCs w:val="21"/>
                <w:highlight w:val="none"/>
                <w:shd w:val="clear" w:color="auto" w:fill="auto"/>
              </w:rPr>
            </w:pPr>
            <w:r>
              <w:rPr>
                <w:rFonts w:hAnsi="宋体"/>
                <w:color w:val="auto"/>
                <w:szCs w:val="21"/>
                <w:highlight w:val="none"/>
                <w:shd w:val="clear" w:color="auto" w:fill="auto"/>
              </w:rPr>
              <w:t>50≦B&lt;100</w:t>
            </w:r>
          </w:p>
        </w:tc>
        <w:tc>
          <w:tcPr>
            <w:tcW w:w="1092" w:type="dxa"/>
            <w:noWrap w:val="0"/>
            <w:vAlign w:val="center"/>
          </w:tcPr>
          <w:p w14:paraId="6A329E71">
            <w:pPr>
              <w:pStyle w:val="6"/>
              <w:spacing w:line="360" w:lineRule="auto"/>
              <w:jc w:val="center"/>
              <w:rPr>
                <w:rFonts w:hAnsi="宋体"/>
                <w:color w:val="auto"/>
                <w:szCs w:val="21"/>
                <w:highlight w:val="none"/>
                <w:shd w:val="clear" w:color="auto" w:fill="auto"/>
              </w:rPr>
            </w:pPr>
            <w:r>
              <w:rPr>
                <w:rFonts w:hAnsi="宋体"/>
                <w:color w:val="auto"/>
                <w:szCs w:val="21"/>
                <w:highlight w:val="none"/>
                <w:shd w:val="clear" w:color="auto" w:fill="auto"/>
              </w:rPr>
              <w:t>B≧100</w:t>
            </w:r>
          </w:p>
        </w:tc>
      </w:tr>
      <w:tr w14:paraId="64EFF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03" w:type="dxa"/>
            <w:noWrap w:val="0"/>
            <w:vAlign w:val="center"/>
          </w:tcPr>
          <w:p w14:paraId="344C96C7">
            <w:pPr>
              <w:pStyle w:val="6"/>
              <w:spacing w:line="360" w:lineRule="auto"/>
              <w:rPr>
                <w:rFonts w:hAnsi="宋体"/>
                <w:color w:val="auto"/>
                <w:szCs w:val="21"/>
                <w:highlight w:val="none"/>
                <w:shd w:val="clear" w:color="auto" w:fill="auto"/>
              </w:rPr>
            </w:pPr>
            <w:r>
              <w:rPr>
                <w:rFonts w:hint="eastAsia" w:hAnsi="宋体"/>
                <w:color w:val="auto"/>
                <w:szCs w:val="21"/>
                <w:highlight w:val="none"/>
                <w:shd w:val="clear" w:color="auto" w:fill="auto"/>
              </w:rPr>
              <w:t>（1）</w:t>
            </w:r>
          </w:p>
        </w:tc>
        <w:tc>
          <w:tcPr>
            <w:tcW w:w="2278" w:type="dxa"/>
            <w:noWrap w:val="0"/>
            <w:vAlign w:val="center"/>
          </w:tcPr>
          <w:p w14:paraId="2D30D023">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H（万元）</w:t>
            </w:r>
          </w:p>
        </w:tc>
        <w:tc>
          <w:tcPr>
            <w:tcW w:w="1559" w:type="dxa"/>
            <w:noWrap w:val="0"/>
            <w:vAlign w:val="center"/>
          </w:tcPr>
          <w:p w14:paraId="40A2F22D">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1</w:t>
            </w:r>
          </w:p>
        </w:tc>
        <w:tc>
          <w:tcPr>
            <w:tcW w:w="1417" w:type="dxa"/>
            <w:noWrap w:val="0"/>
            <w:vAlign w:val="center"/>
          </w:tcPr>
          <w:p w14:paraId="6A24ED55">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2</w:t>
            </w:r>
          </w:p>
        </w:tc>
        <w:tc>
          <w:tcPr>
            <w:tcW w:w="1560" w:type="dxa"/>
            <w:noWrap w:val="0"/>
            <w:vAlign w:val="center"/>
          </w:tcPr>
          <w:p w14:paraId="7F81F91C">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3</w:t>
            </w:r>
          </w:p>
        </w:tc>
        <w:tc>
          <w:tcPr>
            <w:tcW w:w="1092" w:type="dxa"/>
            <w:noWrap w:val="0"/>
            <w:vAlign w:val="center"/>
          </w:tcPr>
          <w:p w14:paraId="1F64C510">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w:t>
            </w:r>
          </w:p>
        </w:tc>
      </w:tr>
      <w:tr w14:paraId="5F2CC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03" w:type="dxa"/>
            <w:noWrap w:val="0"/>
            <w:vAlign w:val="center"/>
          </w:tcPr>
          <w:p w14:paraId="093CC185">
            <w:pPr>
              <w:pStyle w:val="6"/>
              <w:spacing w:line="360" w:lineRule="auto"/>
              <w:rPr>
                <w:rFonts w:hAnsi="宋体"/>
                <w:color w:val="auto"/>
                <w:szCs w:val="21"/>
                <w:highlight w:val="none"/>
                <w:shd w:val="clear" w:color="auto" w:fill="auto"/>
              </w:rPr>
            </w:pPr>
            <w:r>
              <w:rPr>
                <w:rFonts w:hint="eastAsia" w:hAnsi="宋体"/>
                <w:color w:val="auto"/>
                <w:szCs w:val="21"/>
                <w:highlight w:val="none"/>
                <w:shd w:val="clear" w:color="auto" w:fill="auto"/>
              </w:rPr>
              <w:t>（2）</w:t>
            </w:r>
          </w:p>
        </w:tc>
        <w:tc>
          <w:tcPr>
            <w:tcW w:w="2278" w:type="dxa"/>
            <w:noWrap w:val="0"/>
            <w:vAlign w:val="center"/>
          </w:tcPr>
          <w:p w14:paraId="647C3839">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H为B的（%）</w:t>
            </w:r>
          </w:p>
        </w:tc>
        <w:tc>
          <w:tcPr>
            <w:tcW w:w="1559" w:type="dxa"/>
            <w:noWrap w:val="0"/>
            <w:vAlign w:val="center"/>
          </w:tcPr>
          <w:p w14:paraId="41D1A628">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5～10</w:t>
            </w:r>
          </w:p>
        </w:tc>
        <w:tc>
          <w:tcPr>
            <w:tcW w:w="1417" w:type="dxa"/>
            <w:noWrap w:val="0"/>
            <w:vAlign w:val="center"/>
          </w:tcPr>
          <w:p w14:paraId="0B167285">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5～10</w:t>
            </w:r>
          </w:p>
        </w:tc>
        <w:tc>
          <w:tcPr>
            <w:tcW w:w="1560" w:type="dxa"/>
            <w:noWrap w:val="0"/>
            <w:vAlign w:val="center"/>
          </w:tcPr>
          <w:p w14:paraId="18B4CA9B">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5～10</w:t>
            </w:r>
          </w:p>
        </w:tc>
        <w:tc>
          <w:tcPr>
            <w:tcW w:w="1092" w:type="dxa"/>
            <w:noWrap w:val="0"/>
            <w:vAlign w:val="center"/>
          </w:tcPr>
          <w:p w14:paraId="740A021B">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5～10</w:t>
            </w:r>
          </w:p>
        </w:tc>
      </w:tr>
      <w:tr w14:paraId="1A0C6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03" w:type="dxa"/>
            <w:noWrap w:val="0"/>
            <w:vAlign w:val="center"/>
          </w:tcPr>
          <w:p w14:paraId="0F692A2C">
            <w:pPr>
              <w:pStyle w:val="6"/>
              <w:spacing w:line="360" w:lineRule="auto"/>
              <w:rPr>
                <w:rFonts w:hAnsi="宋体"/>
                <w:color w:val="auto"/>
                <w:szCs w:val="21"/>
                <w:highlight w:val="none"/>
                <w:shd w:val="clear" w:color="auto" w:fill="auto"/>
              </w:rPr>
            </w:pPr>
            <w:r>
              <w:rPr>
                <w:rFonts w:hint="eastAsia" w:hAnsi="宋体"/>
                <w:color w:val="auto"/>
                <w:szCs w:val="21"/>
                <w:highlight w:val="none"/>
                <w:shd w:val="clear" w:color="auto" w:fill="auto"/>
              </w:rPr>
              <w:t>（3）</w:t>
            </w:r>
          </w:p>
        </w:tc>
        <w:tc>
          <w:tcPr>
            <w:tcW w:w="2278" w:type="dxa"/>
            <w:noWrap w:val="0"/>
            <w:vAlign w:val="center"/>
          </w:tcPr>
          <w:p w14:paraId="3E8CE645">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H</w:t>
            </w:r>
          </w:p>
        </w:tc>
        <w:tc>
          <w:tcPr>
            <w:tcW w:w="1559" w:type="dxa"/>
            <w:noWrap w:val="0"/>
            <w:vAlign w:val="center"/>
          </w:tcPr>
          <w:p w14:paraId="1C31D266">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p>
        </w:tc>
        <w:tc>
          <w:tcPr>
            <w:tcW w:w="1417" w:type="dxa"/>
            <w:noWrap w:val="0"/>
            <w:vAlign w:val="center"/>
          </w:tcPr>
          <w:p w14:paraId="4BD08666">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p>
        </w:tc>
        <w:tc>
          <w:tcPr>
            <w:tcW w:w="1560" w:type="dxa"/>
            <w:noWrap w:val="0"/>
            <w:vAlign w:val="center"/>
          </w:tcPr>
          <w:p w14:paraId="53153D80">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p>
        </w:tc>
        <w:tc>
          <w:tcPr>
            <w:tcW w:w="1092" w:type="dxa"/>
            <w:noWrap w:val="0"/>
            <w:vAlign w:val="center"/>
          </w:tcPr>
          <w:p w14:paraId="393B3D57">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p>
        </w:tc>
      </w:tr>
    </w:tbl>
    <w:p w14:paraId="61503D22">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注：多个单项工程时，按每单项单独计算。对于单项工程的取消，该单项价款即行核减。</w:t>
      </w:r>
    </w:p>
    <w:p w14:paraId="1E86F4C0">
      <w:pPr>
        <w:pStyle w:val="6"/>
        <w:spacing w:line="360" w:lineRule="auto"/>
        <w:ind w:firstLine="420" w:firstLineChars="200"/>
        <w:rPr>
          <w:rFonts w:hint="eastAsia" w:hAnsi="宋体" w:eastAsia="宋体"/>
          <w:color w:val="auto"/>
          <w:highlight w:val="none"/>
          <w:shd w:val="clear" w:color="auto" w:fill="auto"/>
          <w:lang w:val="en-US" w:eastAsia="zh-CN"/>
        </w:rPr>
      </w:pPr>
      <w:r>
        <w:rPr>
          <w:rFonts w:hint="eastAsia" w:ascii="宋体" w:hAnsi="宋体"/>
          <w:color w:val="auto"/>
          <w:szCs w:val="21"/>
          <w:highlight w:val="none"/>
          <w:shd w:val="clear" w:color="auto" w:fill="auto"/>
        </w:rPr>
        <w:t>（b）【</w:t>
      </w:r>
      <w:r>
        <w:rPr>
          <w:rFonts w:hint="eastAsia" w:ascii="宋体" w:hAnsi="宋体"/>
          <w:color w:val="auto"/>
          <w:szCs w:val="21"/>
          <w:highlight w:val="none"/>
          <w:u w:val="single"/>
          <w:shd w:val="clear" w:color="auto" w:fill="auto"/>
        </w:rPr>
        <w:t xml:space="preserve">  </w:t>
      </w:r>
      <w:r>
        <w:rPr>
          <w:rFonts w:hint="eastAsia" w:ascii="宋体" w:hAnsi="宋体"/>
          <w:color w:val="auto"/>
          <w:szCs w:val="21"/>
          <w:highlight w:val="none"/>
          <w:u w:val="single"/>
          <w:shd w:val="clear" w:color="auto" w:fill="auto"/>
          <w:lang w:val="en-US" w:eastAsia="zh-CN"/>
        </w:rPr>
        <w:t>/</w:t>
      </w:r>
      <w:r>
        <w:rPr>
          <w:rFonts w:hint="eastAsia" w:ascii="宋体" w:hAnsi="宋体"/>
          <w:color w:val="auto"/>
          <w:szCs w:val="21"/>
          <w:highlight w:val="none"/>
          <w:u w:val="single"/>
          <w:shd w:val="clear" w:color="auto" w:fill="auto"/>
        </w:rPr>
        <w:t xml:space="preserve">  </w:t>
      </w:r>
      <w:r>
        <w:rPr>
          <w:rFonts w:hint="eastAsia" w:ascii="宋体" w:hAnsi="宋体"/>
          <w:color w:val="auto"/>
          <w:szCs w:val="21"/>
          <w:highlight w:val="none"/>
          <w:shd w:val="clear" w:color="auto" w:fill="auto"/>
        </w:rPr>
        <w:t>】按实际完成的工程量，以</w:t>
      </w:r>
      <w:r>
        <w:rPr>
          <w:rFonts w:hint="eastAsia" w:hAnsi="宋体"/>
          <w:color w:val="auto"/>
          <w:szCs w:val="21"/>
          <w:highlight w:val="none"/>
          <w:shd w:val="clear" w:color="auto" w:fill="auto"/>
          <w:lang w:val="en-US" w:eastAsia="zh-CN"/>
        </w:rPr>
        <w:t>招标文件</w:t>
      </w:r>
      <w:r>
        <w:rPr>
          <w:rFonts w:hint="eastAsia" w:hAnsi="宋体"/>
          <w:color w:val="auto"/>
          <w:highlight w:val="none"/>
          <w:shd w:val="clear" w:color="auto" w:fill="auto"/>
        </w:rPr>
        <w:t>3.2.2</w:t>
      </w:r>
      <w:r>
        <w:rPr>
          <w:rFonts w:hint="eastAsia" w:hAnsi="宋体"/>
          <w:color w:val="auto"/>
          <w:highlight w:val="none"/>
          <w:shd w:val="clear" w:color="auto" w:fill="auto"/>
          <w:lang w:val="en-US" w:eastAsia="zh-CN"/>
        </w:rPr>
        <w:t>最高投标限价组成的原则</w:t>
      </w:r>
      <w:r>
        <w:rPr>
          <w:rFonts w:hint="eastAsia" w:ascii="宋体" w:hAnsi="宋体" w:cs="宋体"/>
          <w:color w:val="auto"/>
          <w:kern w:val="2"/>
          <w:highlight w:val="none"/>
          <w:shd w:val="clear" w:color="auto" w:fill="auto"/>
        </w:rPr>
        <w:t>进行结算</w:t>
      </w:r>
      <w:r>
        <w:rPr>
          <w:rFonts w:hint="eastAsia" w:hAnsi="宋体" w:cs="宋体"/>
          <w:color w:val="auto"/>
          <w:kern w:val="2"/>
          <w:highlight w:val="none"/>
          <w:shd w:val="clear" w:color="auto" w:fill="auto"/>
          <w:lang w:eastAsia="zh-CN"/>
        </w:rPr>
        <w:t>。</w:t>
      </w:r>
    </w:p>
    <w:p w14:paraId="5A120524">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（c）</w:t>
      </w:r>
      <w:r>
        <w:rPr>
          <w:rFonts w:ascii="宋体" w:hAnsi="宋体"/>
          <w:color w:val="auto"/>
          <w:szCs w:val="21"/>
          <w:highlight w:val="none"/>
          <w:shd w:val="clear" w:color="auto" w:fill="auto"/>
        </w:rPr>
        <w:t>设计变更管理执行</w:t>
      </w:r>
      <w:r>
        <w:rPr>
          <w:rFonts w:hint="eastAsia" w:ascii="宋体" w:hAnsi="宋体"/>
          <w:color w:val="auto"/>
          <w:szCs w:val="21"/>
          <w:highlight w:val="none"/>
          <w:shd w:val="clear" w:color="auto" w:fill="auto"/>
        </w:rPr>
        <w:t>中国南方电网有限责任公司基建工程设计管理规定</w:t>
      </w:r>
      <w:r>
        <w:rPr>
          <w:rFonts w:ascii="宋体" w:hAnsi="宋体"/>
          <w:color w:val="auto"/>
          <w:szCs w:val="21"/>
          <w:highlight w:val="none"/>
          <w:shd w:val="clear" w:color="auto" w:fill="auto"/>
        </w:rPr>
        <w:t>。</w:t>
      </w:r>
    </w:p>
    <w:p w14:paraId="4EEE45C3">
      <w:pPr>
        <w:pStyle w:val="5"/>
        <w:spacing w:after="0" w:line="360" w:lineRule="auto"/>
        <w:ind w:left="0" w:leftChars="0" w:firstLine="420" w:firstLineChars="200"/>
        <w:rPr>
          <w:rFonts w:ascii="宋体" w:hAnsi="宋体"/>
          <w:color w:val="auto"/>
          <w:szCs w:val="21"/>
          <w:highlight w:val="none"/>
          <w:shd w:val="clear" w:color="auto" w:fill="auto"/>
        </w:rPr>
      </w:pPr>
      <w:r>
        <w:rPr>
          <w:rFonts w:ascii="宋体" w:hAnsi="宋体"/>
          <w:color w:val="auto"/>
          <w:szCs w:val="21"/>
          <w:highlight w:val="none"/>
          <w:shd w:val="clear" w:color="auto" w:fill="auto"/>
        </w:rPr>
        <w:t>一项工程变更工程量变化金额在</w:t>
      </w:r>
      <w:r>
        <w:rPr>
          <w:rFonts w:hint="eastAsia" w:ascii="宋体" w:hAnsi="宋体"/>
          <w:color w:val="auto"/>
          <w:szCs w:val="21"/>
          <w:highlight w:val="none"/>
          <w:shd w:val="clear" w:color="auto" w:fill="auto"/>
        </w:rPr>
        <w:t>H</w:t>
      </w:r>
      <w:r>
        <w:rPr>
          <w:rFonts w:ascii="宋体" w:hAnsi="宋体"/>
          <w:color w:val="auto"/>
          <w:szCs w:val="21"/>
          <w:highlight w:val="none"/>
          <w:shd w:val="clear" w:color="auto" w:fill="auto"/>
        </w:rPr>
        <w:t>万元以下</w:t>
      </w:r>
      <w:r>
        <w:rPr>
          <w:rFonts w:hint="eastAsia" w:ascii="宋体" w:hAnsi="宋体"/>
          <w:color w:val="auto"/>
          <w:szCs w:val="21"/>
          <w:highlight w:val="none"/>
          <w:shd w:val="clear" w:color="auto" w:fill="auto"/>
        </w:rPr>
        <w:t>的</w:t>
      </w:r>
      <w:r>
        <w:rPr>
          <w:rFonts w:ascii="宋体" w:hAnsi="宋体"/>
          <w:color w:val="auto"/>
          <w:szCs w:val="21"/>
          <w:highlight w:val="none"/>
          <w:shd w:val="clear" w:color="auto" w:fill="auto"/>
        </w:rPr>
        <w:t>，在工程竣工结算时，而作的成本记录计算仅作为考核设计质量之用，不调整合同价款。</w:t>
      </w:r>
    </w:p>
    <w:p w14:paraId="3216C1AF">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（d）本合同中，因建设需要取消的单项工程，按中标合同价款中的相应费用减少合同价款。</w:t>
      </w:r>
    </w:p>
    <w:p w14:paraId="06CD8A09">
      <w:pPr>
        <w:pStyle w:val="5"/>
        <w:spacing w:after="0" w:line="360" w:lineRule="auto"/>
        <w:ind w:left="0" w:leftChars="0" w:firstLine="420" w:firstLineChars="200"/>
        <w:rPr>
          <w:rFonts w:ascii="宋体" w:hAnsi="宋体"/>
          <w:color w:val="auto"/>
          <w:szCs w:val="21"/>
          <w:highlight w:val="none"/>
          <w:u w:val="single"/>
          <w:shd w:val="clear" w:color="auto" w:fill="auto"/>
        </w:rPr>
      </w:pPr>
      <w:r>
        <w:rPr>
          <w:rFonts w:hint="eastAsia" w:ascii="宋体" w:hAnsi="宋体"/>
          <w:color w:val="auto"/>
          <w:szCs w:val="21"/>
          <w:highlight w:val="none"/>
          <w:shd w:val="clear" w:color="auto" w:fill="auto"/>
        </w:rPr>
        <w:t>（e）其他：</w:t>
      </w:r>
      <w:r>
        <w:rPr>
          <w:rFonts w:hint="eastAsia" w:ascii="宋体" w:hAnsi="宋体"/>
          <w:color w:val="auto"/>
          <w:szCs w:val="21"/>
          <w:highlight w:val="none"/>
          <w:u w:val="single"/>
          <w:shd w:val="clear" w:color="auto" w:fill="auto"/>
        </w:rPr>
        <w:t xml:space="preserve">    </w:t>
      </w:r>
      <w:r>
        <w:rPr>
          <w:rFonts w:hint="eastAsia" w:ascii="宋体" w:hAnsi="宋体"/>
          <w:color w:val="auto"/>
          <w:szCs w:val="21"/>
          <w:highlight w:val="none"/>
          <w:u w:val="single"/>
          <w:shd w:val="clear" w:color="auto" w:fill="auto"/>
          <w:lang w:val="en-US" w:eastAsia="zh-CN"/>
        </w:rPr>
        <w:t>/</w:t>
      </w:r>
      <w:r>
        <w:rPr>
          <w:rFonts w:hint="eastAsia" w:ascii="宋体" w:hAnsi="宋体"/>
          <w:color w:val="auto"/>
          <w:szCs w:val="21"/>
          <w:highlight w:val="none"/>
          <w:u w:val="single"/>
          <w:shd w:val="clear" w:color="auto" w:fill="auto"/>
        </w:rPr>
        <w:t xml:space="preserve">     。</w:t>
      </w:r>
    </w:p>
    <w:p w14:paraId="243A060D">
      <w:pPr>
        <w:pStyle w:val="5"/>
        <w:spacing w:after="0" w:line="360" w:lineRule="auto"/>
        <w:ind w:left="0" w:leftChars="0" w:firstLine="420" w:firstLineChars="200"/>
        <w:rPr>
          <w:rFonts w:hint="eastAsia" w:ascii="宋体" w:hAnsi="宋体" w:cs="TimesNewRomanPSMT"/>
          <w:color w:val="auto"/>
          <w:kern w:val="0"/>
          <w:szCs w:val="21"/>
          <w:highlight w:val="none"/>
          <w:shd w:val="clear" w:color="auto" w:fill="auto"/>
        </w:rPr>
      </w:pPr>
      <w:r>
        <w:rPr>
          <w:rFonts w:hint="eastAsia" w:ascii="宋体" w:hAnsi="宋体"/>
          <w:color w:val="auto"/>
          <w:szCs w:val="21"/>
          <w:highlight w:val="none"/>
          <w:shd w:val="clear" w:color="auto" w:fill="auto"/>
        </w:rPr>
        <w:t>13.</w:t>
      </w:r>
      <w:r>
        <w:rPr>
          <w:rFonts w:ascii="宋体" w:hAnsi="宋体"/>
          <w:color w:val="auto"/>
          <w:szCs w:val="21"/>
          <w:highlight w:val="none"/>
          <w:shd w:val="clear" w:color="auto" w:fill="auto"/>
        </w:rPr>
        <w:t xml:space="preserve">9 </w:t>
      </w:r>
      <w:r>
        <w:rPr>
          <w:rFonts w:hint="eastAsia" w:ascii="宋体" w:hAnsi="宋体" w:cs="TimesNewRomanPSMT"/>
          <w:color w:val="auto"/>
          <w:kern w:val="0"/>
          <w:szCs w:val="21"/>
          <w:highlight w:val="none"/>
          <w:shd w:val="clear" w:color="auto" w:fill="auto"/>
        </w:rPr>
        <w:t>物价波动引起的价格调整</w:t>
      </w:r>
    </w:p>
    <w:p w14:paraId="158E7DCF">
      <w:pPr>
        <w:pStyle w:val="5"/>
        <w:spacing w:after="0" w:line="360" w:lineRule="auto"/>
        <w:ind w:left="0" w:leftChars="0" w:firstLine="422" w:firstLineChars="200"/>
        <w:rPr>
          <w:rFonts w:hint="eastAsia" w:ascii="宋体" w:hAnsi="宋体" w:cs="TimesNewRomanPSMT"/>
          <w:b/>
          <w:bCs/>
          <w:color w:val="auto"/>
          <w:kern w:val="0"/>
          <w:szCs w:val="21"/>
          <w:highlight w:val="none"/>
          <w:shd w:val="clear" w:color="auto" w:fill="auto"/>
        </w:rPr>
      </w:pPr>
      <w:r>
        <w:rPr>
          <w:rFonts w:hint="eastAsia" w:ascii="宋体" w:hAnsi="宋体"/>
          <w:b/>
          <w:bCs/>
          <w:color w:val="auto"/>
          <w:szCs w:val="21"/>
          <w:highlight w:val="none"/>
          <w:shd w:val="clear" w:color="auto" w:fill="auto"/>
          <w:lang w:eastAsia="zh-CN"/>
        </w:rPr>
        <w:t>替换</w:t>
      </w:r>
      <w:r>
        <w:rPr>
          <w:rFonts w:hint="eastAsia" w:ascii="宋体" w:hAnsi="宋体"/>
          <w:b/>
          <w:bCs/>
          <w:color w:val="auto"/>
          <w:szCs w:val="21"/>
          <w:highlight w:val="none"/>
          <w:shd w:val="clear" w:color="auto" w:fill="auto"/>
        </w:rPr>
        <w:t>以下内容到第1</w:t>
      </w:r>
      <w:r>
        <w:rPr>
          <w:rFonts w:ascii="宋体" w:hAnsi="宋体"/>
          <w:b/>
          <w:bCs/>
          <w:color w:val="auto"/>
          <w:szCs w:val="21"/>
          <w:highlight w:val="none"/>
          <w:shd w:val="clear" w:color="auto" w:fill="auto"/>
        </w:rPr>
        <w:t>3.</w:t>
      </w:r>
      <w:r>
        <w:rPr>
          <w:rFonts w:hint="eastAsia" w:ascii="宋体" w:hAnsi="宋体"/>
          <w:b/>
          <w:bCs/>
          <w:color w:val="auto"/>
          <w:szCs w:val="21"/>
          <w:highlight w:val="none"/>
          <w:shd w:val="clear" w:color="auto" w:fill="auto"/>
          <w:lang w:val="en-US" w:eastAsia="zh-CN"/>
        </w:rPr>
        <w:t>9</w:t>
      </w:r>
      <w:r>
        <w:rPr>
          <w:rFonts w:hint="eastAsia" w:ascii="宋体" w:hAnsi="宋体"/>
          <w:b/>
          <w:bCs/>
          <w:color w:val="auto"/>
          <w:szCs w:val="21"/>
          <w:highlight w:val="none"/>
          <w:shd w:val="clear" w:color="auto" w:fill="auto"/>
        </w:rPr>
        <w:t>款：</w:t>
      </w:r>
    </w:p>
    <w:p w14:paraId="27345454">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13.9.1由于承包人原因造成延期的项目单价均不予调整。</w:t>
      </w:r>
    </w:p>
    <w:p w14:paraId="27E173D1">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13.9.2人工单价可调整的情况分为：</w:t>
      </w:r>
    </w:p>
    <w:p w14:paraId="6319D303">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①开工时调整单价</w:t>
      </w:r>
    </w:p>
    <w:p w14:paraId="191AA144">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实际开工日期S2-计划开工日期S1＞3个月时，在实际开工时调整。</w:t>
      </w:r>
    </w:p>
    <w:p w14:paraId="6181BA91">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②过程中调整单价</w:t>
      </w:r>
    </w:p>
    <w:p w14:paraId="0479FA3D">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实际竣工日期F2-实际开工日期S2＞计划工期T1（天）,对超过计划工期的施工时间部分调整。</w:t>
      </w:r>
    </w:p>
    <w:p w14:paraId="513FF3E1">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计划开工日期S1:是指招标文件中规定的计划开工日期。</w:t>
      </w:r>
    </w:p>
    <w:p w14:paraId="49880831">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实际开工日期S2:是指开工报告签署完毕的日期。</w:t>
      </w:r>
    </w:p>
    <w:p w14:paraId="62E427EF">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实际竣工日期F2:是指竣工报告签署完毕的日期。</w:t>
      </w:r>
    </w:p>
    <w:p w14:paraId="50A220C9">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计划工期T1:是指招标文件中规定计划工期。</w:t>
      </w:r>
    </w:p>
    <w:p w14:paraId="58693ED9">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13.9.3符合13.9.2条款时，人工单价调整方式执行以下第</w:t>
      </w:r>
      <w:r>
        <w:rPr>
          <w:rFonts w:hint="eastAsia" w:ascii="宋体"/>
          <w:b w:val="0"/>
          <w:bCs/>
          <w:color w:val="auto"/>
          <w:highlight w:val="none"/>
          <w:u w:val="single"/>
        </w:rPr>
        <w:t xml:space="preserve"> </w:t>
      </w:r>
      <w:r>
        <w:rPr>
          <w:rFonts w:hint="eastAsia" w:ascii="宋体"/>
          <w:b w:val="0"/>
          <w:color w:val="auto"/>
          <w:highlight w:val="none"/>
          <w:u w:val="single"/>
        </w:rPr>
        <w:t>（1）</w:t>
      </w:r>
      <w:r>
        <w:rPr>
          <w:rFonts w:hint="eastAsia" w:ascii="宋体"/>
          <w:b w:val="0"/>
          <w:bCs/>
          <w:color w:val="auto"/>
          <w:highlight w:val="none"/>
          <w:u w:val="single"/>
        </w:rPr>
        <w:t xml:space="preserve"> </w:t>
      </w:r>
      <w:r>
        <w:rPr>
          <w:rFonts w:hint="eastAsia" w:ascii="宋体"/>
          <w:b w:val="0"/>
          <w:bCs/>
          <w:color w:val="auto"/>
          <w:highlight w:val="none"/>
        </w:rPr>
        <w:t>条，调整时效按通用条款第20款。</w:t>
      </w:r>
    </w:p>
    <w:p w14:paraId="79407E61">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w:t>
      </w:r>
      <w:r>
        <w:rPr>
          <w:rFonts w:hint="eastAsia" w:ascii="宋体"/>
          <w:b w:val="0"/>
          <w:bCs/>
          <w:color w:val="auto"/>
          <w:highlight w:val="none"/>
          <w:lang w:val="en-US" w:eastAsia="zh-CN"/>
        </w:rPr>
        <w:t>1</w:t>
      </w:r>
      <w:r>
        <w:rPr>
          <w:rFonts w:hint="eastAsia" w:ascii="宋体"/>
          <w:b w:val="0"/>
          <w:bCs/>
          <w:color w:val="auto"/>
          <w:highlight w:val="none"/>
        </w:rPr>
        <w:t xml:space="preserve">）人工单价发生变化且符合省级或行业建设主管部门发布的人工费调整规定，合同当事人应按省级或行业建设主管部门或其授权的工程造价管理机构发布的人工费等文件调整合同价格。调整时效按通用条款第20款。 </w:t>
      </w:r>
    </w:p>
    <w:p w14:paraId="2D0F57AD">
      <w:pPr>
        <w:pStyle w:val="11"/>
        <w:numPr>
          <w:ilvl w:val="0"/>
          <w:numId w:val="0"/>
        </w:numPr>
        <w:spacing w:after="0"/>
        <w:ind w:leftChars="200"/>
        <w:rPr>
          <w:rFonts w:hint="eastAsia" w:ascii="宋体"/>
          <w:b w:val="0"/>
          <w:bCs/>
          <w:color w:val="auto"/>
          <w:highlight w:val="none"/>
        </w:rPr>
      </w:pPr>
      <w:r>
        <w:rPr>
          <w:rFonts w:hint="eastAsia" w:ascii="宋体"/>
          <w:b w:val="0"/>
          <w:bCs/>
          <w:color w:val="auto"/>
          <w:highlight w:val="none"/>
        </w:rPr>
        <w:t>如果停工超过</w:t>
      </w:r>
      <w:r>
        <w:rPr>
          <w:rFonts w:hint="eastAsia" w:ascii="宋体"/>
          <w:b w:val="0"/>
          <w:bCs/>
          <w:color w:val="auto"/>
          <w:highlight w:val="none"/>
          <w:u w:val="single"/>
        </w:rPr>
        <w:t xml:space="preserve">  半年  </w:t>
      </w:r>
      <w:r>
        <w:rPr>
          <w:rFonts w:hint="eastAsia" w:ascii="宋体"/>
          <w:b w:val="0"/>
          <w:bCs/>
          <w:color w:val="auto"/>
          <w:highlight w:val="none"/>
        </w:rPr>
        <w:t>以上的由甲乙双方另行协商。</w:t>
      </w:r>
    </w:p>
    <w:p w14:paraId="04D9DC42">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w:t>
      </w:r>
      <w:r>
        <w:rPr>
          <w:rFonts w:hint="eastAsia" w:ascii="宋体"/>
          <w:b w:val="0"/>
          <w:bCs/>
          <w:color w:val="auto"/>
          <w:highlight w:val="none"/>
          <w:lang w:val="en-US" w:eastAsia="zh-CN"/>
        </w:rPr>
        <w:t>2</w:t>
      </w:r>
      <w:r>
        <w:rPr>
          <w:rFonts w:hint="eastAsia" w:ascii="宋体"/>
          <w:b w:val="0"/>
          <w:bCs/>
          <w:color w:val="auto"/>
          <w:highlight w:val="none"/>
        </w:rPr>
        <w:t xml:space="preserve">）不调整。 </w:t>
      </w:r>
    </w:p>
    <w:p w14:paraId="29DF71C0">
      <w:pPr>
        <w:pStyle w:val="11"/>
        <w:spacing w:after="0"/>
        <w:ind w:left="0" w:leftChars="0" w:firstLine="420" w:firstLineChars="200"/>
        <w:rPr>
          <w:rFonts w:hint="eastAsia" w:ascii="宋体"/>
          <w:b w:val="0"/>
          <w:bCs/>
          <w:color w:val="auto"/>
          <w:highlight w:val="none"/>
          <w:u w:val="single"/>
        </w:rPr>
      </w:pPr>
      <w:r>
        <w:rPr>
          <w:rFonts w:hint="eastAsia" w:ascii="宋体"/>
          <w:b w:val="0"/>
          <w:bCs/>
          <w:color w:val="auto"/>
          <w:highlight w:val="none"/>
        </w:rPr>
        <w:t>（</w:t>
      </w:r>
      <w:r>
        <w:rPr>
          <w:rFonts w:hint="eastAsia" w:ascii="宋体"/>
          <w:b w:val="0"/>
          <w:bCs/>
          <w:color w:val="auto"/>
          <w:highlight w:val="none"/>
          <w:lang w:val="en-US" w:eastAsia="zh-CN"/>
        </w:rPr>
        <w:t>3</w:t>
      </w:r>
      <w:r>
        <w:rPr>
          <w:rFonts w:hint="eastAsia" w:ascii="宋体"/>
          <w:b w:val="0"/>
          <w:bCs/>
          <w:color w:val="auto"/>
          <w:highlight w:val="none"/>
        </w:rPr>
        <w:t>）其他：</w:t>
      </w:r>
      <w:r>
        <w:rPr>
          <w:rFonts w:hint="eastAsia" w:ascii="宋体"/>
          <w:b w:val="0"/>
          <w:bCs/>
          <w:color w:val="auto"/>
          <w:highlight w:val="none"/>
          <w:u w:val="single"/>
        </w:rPr>
        <w:t xml:space="preserve">    </w:t>
      </w:r>
      <w:r>
        <w:rPr>
          <w:rFonts w:hint="eastAsia" w:ascii="宋体"/>
          <w:b w:val="0"/>
          <w:bCs/>
          <w:color w:val="auto"/>
          <w:highlight w:val="none"/>
          <w:u w:val="single"/>
          <w:lang w:val="en-US" w:eastAsia="zh-CN"/>
        </w:rPr>
        <w:t>/</w:t>
      </w:r>
      <w:r>
        <w:rPr>
          <w:rFonts w:hint="eastAsia" w:ascii="宋体"/>
          <w:b w:val="0"/>
          <w:bCs/>
          <w:color w:val="auto"/>
          <w:highlight w:val="none"/>
          <w:u w:val="single"/>
        </w:rPr>
        <w:t xml:space="preserve">      </w:t>
      </w:r>
    </w:p>
    <w:p w14:paraId="6FBCF984">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13.9.4 主要材料单价调整方式执行以下第</w:t>
      </w:r>
      <w:r>
        <w:rPr>
          <w:rFonts w:hint="eastAsia" w:ascii="宋体"/>
          <w:b w:val="0"/>
          <w:bCs/>
          <w:color w:val="auto"/>
          <w:highlight w:val="none"/>
          <w:u w:val="single"/>
        </w:rPr>
        <w:t xml:space="preserve"> </w:t>
      </w:r>
      <w:r>
        <w:rPr>
          <w:rFonts w:hint="eastAsia" w:ascii="宋体"/>
          <w:b w:val="0"/>
          <w:color w:val="auto"/>
          <w:highlight w:val="none"/>
          <w:u w:val="single"/>
        </w:rPr>
        <w:t>（1）</w:t>
      </w:r>
      <w:r>
        <w:rPr>
          <w:rFonts w:hint="eastAsia" w:ascii="宋体"/>
          <w:b w:val="0"/>
          <w:bCs/>
          <w:color w:val="auto"/>
          <w:highlight w:val="none"/>
          <w:u w:val="single"/>
        </w:rPr>
        <w:t xml:space="preserve"> </w:t>
      </w:r>
      <w:r>
        <w:rPr>
          <w:rFonts w:hint="eastAsia" w:ascii="宋体"/>
          <w:b w:val="0"/>
          <w:bCs/>
          <w:color w:val="auto"/>
          <w:highlight w:val="none"/>
        </w:rPr>
        <w:t>条，调整时效按通用条款第20款执行。</w:t>
      </w:r>
    </w:p>
    <w:p w14:paraId="458AE056">
      <w:pPr>
        <w:pStyle w:val="11"/>
        <w:spacing w:after="0"/>
        <w:ind w:left="0" w:leftChars="0" w:firstLine="420" w:firstLineChars="200"/>
        <w:rPr>
          <w:rFonts w:hint="eastAsia" w:ascii="宋体"/>
          <w:b w:val="0"/>
          <w:bCs/>
          <w:strike/>
          <w:color w:val="auto"/>
          <w:highlight w:val="none"/>
        </w:rPr>
      </w:pPr>
      <w:r>
        <w:rPr>
          <w:rFonts w:hint="eastAsia" w:ascii="宋体"/>
          <w:b w:val="0"/>
          <w:bCs/>
          <w:color w:val="auto"/>
          <w:highlight w:val="none"/>
        </w:rPr>
        <w:t>（1）承包人（或发包人）认为会影响合同价且需要调整时，应在采购材料前将采购的数量（形象进度可作为附件）和新的单价（或采购时间）报发包人（或承包人）核对，发包人（或承包人）应确认材料的数量和单价（或采购时间）。未在调整时效内履行以上程序时，合同价不予调整。</w:t>
      </w:r>
    </w:p>
    <w:p w14:paraId="41A8F0C5">
      <w:pPr>
        <w:pStyle w:val="11"/>
        <w:spacing w:after="0"/>
        <w:ind w:left="0" w:leftChars="0" w:firstLine="420" w:firstLineChars="200"/>
        <w:rPr>
          <w:rFonts w:hint="eastAsia" w:ascii="宋体" w:eastAsia="宋体"/>
          <w:b w:val="0"/>
          <w:bCs/>
          <w:color w:val="auto"/>
          <w:highlight w:val="none"/>
          <w:lang w:eastAsia="zh-CN"/>
        </w:rPr>
      </w:pPr>
      <w:r>
        <w:rPr>
          <w:rFonts w:hint="eastAsia" w:ascii="宋体"/>
          <w:b w:val="0"/>
          <w:bCs/>
          <w:color w:val="auto"/>
          <w:highlight w:val="none"/>
        </w:rPr>
        <w:t>承包人提供的主要材料价格变化的价款调整按照发包人提供的基准价格，按以下风险范围规定执行</w:t>
      </w:r>
      <w:r>
        <w:rPr>
          <w:rFonts w:hint="eastAsia" w:ascii="宋体"/>
          <w:b w:val="0"/>
          <w:bCs/>
          <w:color w:val="auto"/>
          <w:highlight w:val="none"/>
          <w:lang w:eastAsia="zh-CN"/>
        </w:rPr>
        <w:t>：</w:t>
      </w:r>
    </w:p>
    <w:p w14:paraId="1D656B8B">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①合同履行期间材料单价（C）涨幅（或跌幅）以基准价格(A)为基础超过10%时，合同材料单价按公式调整。</w:t>
      </w:r>
    </w:p>
    <w:p w14:paraId="57DD5B13">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涨</w:t>
      </w:r>
      <w:r>
        <w:rPr>
          <w:rFonts w:hint="eastAsia" w:ascii="宋体"/>
          <w:b w:val="0"/>
          <w:bCs/>
          <w:color w:val="auto"/>
          <w:highlight w:val="none"/>
          <w:lang w:eastAsia="zh-CN"/>
        </w:rPr>
        <w:t>或跌</w:t>
      </w:r>
      <w:r>
        <w:rPr>
          <w:rFonts w:hint="eastAsia" w:ascii="宋体"/>
          <w:b w:val="0"/>
          <w:bCs/>
          <w:color w:val="auto"/>
          <w:highlight w:val="none"/>
        </w:rPr>
        <w:t>时调整单价=C-A</w:t>
      </w:r>
    </w:p>
    <w:p w14:paraId="73B8A877">
      <w:pPr>
        <w:pStyle w:val="11"/>
        <w:spacing w:after="0"/>
        <w:ind w:left="0" w:leftChars="0" w:firstLine="420" w:firstLineChars="200"/>
        <w:rPr>
          <w:rFonts w:hint="eastAsia" w:ascii="宋体"/>
          <w:b w:val="0"/>
          <w:bCs/>
          <w:color w:val="auto"/>
          <w:highlight w:val="none"/>
        </w:rPr>
      </w:pPr>
      <w:r>
        <w:rPr>
          <w:rFonts w:hint="eastAsia" w:ascii="宋体"/>
          <w:b w:val="0"/>
          <w:bCs/>
          <w:strike/>
          <w:color w:val="auto"/>
          <w:highlight w:val="none"/>
        </w:rPr>
        <w:t>跌时调整单价：如C≥B时，不予调整；如C＜B时，调整单价=C-B</w:t>
      </w:r>
    </w:p>
    <w:p w14:paraId="39CE7122">
      <w:pPr>
        <w:pStyle w:val="11"/>
        <w:spacing w:after="0"/>
        <w:ind w:left="0" w:leftChars="0" w:firstLine="420" w:firstLineChars="200"/>
        <w:rPr>
          <w:rFonts w:hint="eastAsia" w:ascii="宋体"/>
          <w:b w:val="0"/>
          <w:bCs/>
          <w:strike/>
          <w:color w:val="auto"/>
          <w:highlight w:val="none"/>
        </w:rPr>
      </w:pPr>
      <w:r>
        <w:rPr>
          <w:rFonts w:hint="eastAsia" w:ascii="宋体"/>
          <w:b w:val="0"/>
          <w:bCs/>
          <w:strike/>
          <w:color w:val="auto"/>
          <w:highlight w:val="none"/>
        </w:rPr>
        <w:t>②合同材料单价(B)高于基准价格(A)的：合同履行期间材料单价（C）涨幅（或跌幅）以基准价格(A)为基础超过10%时，合同材料单价按公式调整。</w:t>
      </w:r>
    </w:p>
    <w:p w14:paraId="65E93699">
      <w:pPr>
        <w:pStyle w:val="11"/>
        <w:spacing w:after="0"/>
        <w:ind w:left="0" w:leftChars="0" w:firstLine="420" w:firstLineChars="200"/>
        <w:rPr>
          <w:rFonts w:hint="eastAsia" w:ascii="宋体"/>
          <w:b w:val="0"/>
          <w:bCs/>
          <w:strike/>
          <w:color w:val="auto"/>
          <w:highlight w:val="none"/>
        </w:rPr>
      </w:pPr>
      <w:r>
        <w:rPr>
          <w:rFonts w:hint="eastAsia" w:ascii="宋体"/>
          <w:b w:val="0"/>
          <w:bCs/>
          <w:strike/>
          <w:color w:val="auto"/>
          <w:highlight w:val="none"/>
        </w:rPr>
        <w:t>涨时调整单价：如C≤B时，不予调整；如C＞B时，调整单价=C-B</w:t>
      </w:r>
    </w:p>
    <w:p w14:paraId="49C34351">
      <w:pPr>
        <w:pStyle w:val="11"/>
        <w:spacing w:after="0"/>
        <w:ind w:left="0" w:leftChars="0" w:firstLine="420" w:firstLineChars="200"/>
        <w:rPr>
          <w:rFonts w:hint="eastAsia" w:ascii="宋体"/>
          <w:b w:val="0"/>
          <w:bCs/>
          <w:strike/>
          <w:color w:val="auto"/>
          <w:highlight w:val="none"/>
        </w:rPr>
      </w:pPr>
      <w:r>
        <w:rPr>
          <w:rFonts w:hint="eastAsia" w:ascii="宋体"/>
          <w:b w:val="0"/>
          <w:bCs/>
          <w:strike/>
          <w:color w:val="auto"/>
          <w:highlight w:val="none"/>
        </w:rPr>
        <w:t>跌时调整单价=C-A</w:t>
      </w:r>
    </w:p>
    <w:p w14:paraId="0A0B0B53">
      <w:pPr>
        <w:pStyle w:val="11"/>
        <w:spacing w:after="0"/>
        <w:ind w:left="0" w:leftChars="0" w:firstLine="420" w:firstLineChars="200"/>
        <w:rPr>
          <w:rFonts w:hint="eastAsia" w:ascii="宋体"/>
          <w:b w:val="0"/>
          <w:bCs/>
          <w:strike/>
          <w:color w:val="auto"/>
          <w:highlight w:val="none"/>
        </w:rPr>
      </w:pPr>
      <w:r>
        <w:rPr>
          <w:rFonts w:hint="eastAsia" w:ascii="宋体"/>
          <w:b w:val="0"/>
          <w:bCs/>
          <w:strike/>
          <w:color w:val="auto"/>
          <w:highlight w:val="none"/>
        </w:rPr>
        <w:t>③合同材料单价(B)等于基准价格(A)的：合同履行期间材料单价（C）涨幅（或跌幅）以基准价格(A)为基础超过10%时，合同材料单价按公式调整。</w:t>
      </w:r>
    </w:p>
    <w:p w14:paraId="08A51B95">
      <w:pPr>
        <w:pStyle w:val="11"/>
        <w:spacing w:after="0"/>
        <w:ind w:left="0" w:leftChars="0" w:firstLine="420" w:firstLineChars="200"/>
        <w:rPr>
          <w:rFonts w:hint="eastAsia" w:ascii="宋体"/>
          <w:b w:val="0"/>
          <w:bCs/>
          <w:strike/>
          <w:color w:val="auto"/>
          <w:highlight w:val="none"/>
        </w:rPr>
      </w:pPr>
      <w:r>
        <w:rPr>
          <w:rFonts w:hint="eastAsia" w:ascii="宋体"/>
          <w:b w:val="0"/>
          <w:bCs/>
          <w:strike/>
          <w:color w:val="auto"/>
          <w:highlight w:val="none"/>
        </w:rPr>
        <w:t>涨或跌时调整单价=C-A</w:t>
      </w:r>
    </w:p>
    <w:p w14:paraId="34418859">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基准价格(A):正式合同价编制时对应的省级或行业建设主管部门或其授权的工程造价管理机构发布的信息价【指经三方（发包人、承包人、造价咨询单位）确认后的招标范围内批复的最高限价(即正式合同价)中的材料单价（如相同材料有不同的单价时，取价高者）】；</w:t>
      </w:r>
    </w:p>
    <w:p w14:paraId="61EE8CF5">
      <w:pPr>
        <w:pStyle w:val="11"/>
        <w:spacing w:after="0"/>
        <w:ind w:left="0" w:leftChars="0" w:firstLine="420" w:firstLineChars="200"/>
        <w:rPr>
          <w:rFonts w:hint="eastAsia" w:ascii="宋体"/>
          <w:b w:val="0"/>
          <w:bCs/>
          <w:strike/>
          <w:color w:val="auto"/>
          <w:highlight w:val="none"/>
        </w:rPr>
      </w:pPr>
      <w:r>
        <w:rPr>
          <w:rFonts w:hint="eastAsia" w:ascii="宋体"/>
          <w:b w:val="0"/>
          <w:bCs/>
          <w:strike/>
          <w:color w:val="auto"/>
          <w:highlight w:val="none"/>
        </w:rPr>
        <w:t>合同材料单价(B):是指承包人投标书中的材料单价（如投标书中相同材料有不同的单价时，取价高者）；</w:t>
      </w:r>
    </w:p>
    <w:p w14:paraId="5244BA73">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合同履行期间材料单价（C）:是指合同履行期间省级或行业建设主管部门或其授权的工程造价管理机构发布的信息价；</w:t>
      </w:r>
    </w:p>
    <w:p w14:paraId="390A903B">
      <w:pPr>
        <w:pStyle w:val="11"/>
        <w:spacing w:after="0"/>
        <w:ind w:left="0" w:leftChars="0" w:firstLine="420" w:firstLineChars="200"/>
        <w:rPr>
          <w:rFonts w:hint="eastAsia" w:ascii="宋体" w:eastAsia="宋体"/>
          <w:b w:val="0"/>
          <w:bCs/>
          <w:color w:val="auto"/>
          <w:highlight w:val="none"/>
          <w:lang w:val="en-US" w:eastAsia="zh-CN"/>
        </w:rPr>
      </w:pPr>
      <w:r>
        <w:rPr>
          <w:rFonts w:hint="eastAsia" w:ascii="宋体"/>
          <w:b w:val="0"/>
          <w:bCs/>
          <w:color w:val="auto"/>
          <w:highlight w:val="none"/>
        </w:rPr>
        <w:t>主要材料是指</w:t>
      </w:r>
      <w:r>
        <w:rPr>
          <w:rFonts w:hint="eastAsia" w:ascii="宋体"/>
          <w:b w:val="0"/>
          <w:bCs/>
          <w:color w:val="auto"/>
          <w:highlight w:val="none"/>
          <w:lang w:val="en-US" w:eastAsia="zh-CN"/>
        </w:rPr>
        <w:t>钢材（仅包括钢筋，角钢、槽钢、工字钢、扁钢、钢板等型钢类，不含其他管材类如镀锌钢管、焊接钢管）、铜排、商品混凝土、混凝土预制品、标准砖、水泥、砂、碎石（含砾石）、块石（含毛石、片石）、石粉（石屑）、沥青混凝土、电缆、电缆桥（支）架及电缆保护管材</w:t>
      </w:r>
      <w:r>
        <w:rPr>
          <w:rFonts w:hint="eastAsia" w:ascii="宋体" w:hAnsi="宋体" w:eastAsia="宋体" w:cs="Times New Roman"/>
          <w:b w:val="0"/>
          <w:bCs/>
          <w:color w:val="auto"/>
          <w:sz w:val="21"/>
          <w:szCs w:val="21"/>
          <w:highlight w:val="none"/>
        </w:rPr>
        <w:t>（不含钢质保护管如镀锌钢管、焊接钢管）</w:t>
      </w:r>
      <w:r>
        <w:rPr>
          <w:rFonts w:hint="eastAsia" w:ascii="宋体"/>
          <w:b w:val="0"/>
          <w:bCs/>
          <w:color w:val="auto"/>
          <w:highlight w:val="none"/>
          <w:lang w:val="en-US" w:eastAsia="zh-CN"/>
        </w:rPr>
        <w:t xml:space="preserve">。 </w:t>
      </w:r>
    </w:p>
    <w:p w14:paraId="43A891FB">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如果停工超过</w:t>
      </w:r>
      <w:r>
        <w:rPr>
          <w:rFonts w:hint="eastAsia" w:ascii="宋体"/>
          <w:b w:val="0"/>
          <w:bCs/>
          <w:color w:val="auto"/>
          <w:highlight w:val="none"/>
          <w:u w:val="single"/>
        </w:rPr>
        <w:t xml:space="preserve">  半年  </w:t>
      </w:r>
      <w:r>
        <w:rPr>
          <w:rFonts w:hint="eastAsia" w:ascii="宋体"/>
          <w:b w:val="0"/>
          <w:bCs/>
          <w:color w:val="auto"/>
          <w:highlight w:val="none"/>
        </w:rPr>
        <w:t>以上的由甲乙双方另行协商。</w:t>
      </w:r>
    </w:p>
    <w:p w14:paraId="03211793">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w:t>
      </w:r>
      <w:r>
        <w:rPr>
          <w:rFonts w:hint="eastAsia" w:ascii="宋体"/>
          <w:b w:val="0"/>
          <w:bCs/>
          <w:color w:val="auto"/>
          <w:highlight w:val="none"/>
          <w:lang w:val="en-US" w:eastAsia="zh-CN"/>
        </w:rPr>
        <w:t>2</w:t>
      </w:r>
      <w:r>
        <w:rPr>
          <w:rFonts w:hint="eastAsia" w:ascii="宋体"/>
          <w:b w:val="0"/>
          <w:bCs/>
          <w:color w:val="auto"/>
          <w:highlight w:val="none"/>
        </w:rPr>
        <w:t xml:space="preserve">）不调整。 </w:t>
      </w:r>
    </w:p>
    <w:p w14:paraId="72A90199">
      <w:pPr>
        <w:pStyle w:val="11"/>
        <w:spacing w:after="0"/>
        <w:ind w:left="0" w:leftChars="0" w:firstLine="420" w:firstLineChars="200"/>
        <w:rPr>
          <w:rFonts w:hint="eastAsia" w:ascii="宋体"/>
          <w:b w:val="0"/>
          <w:bCs/>
          <w:color w:val="auto"/>
          <w:highlight w:val="none"/>
          <w:u w:val="single"/>
        </w:rPr>
      </w:pPr>
      <w:r>
        <w:rPr>
          <w:rFonts w:hint="eastAsia" w:ascii="宋体"/>
          <w:b w:val="0"/>
          <w:bCs/>
          <w:color w:val="auto"/>
          <w:highlight w:val="none"/>
        </w:rPr>
        <w:t>（</w:t>
      </w:r>
      <w:r>
        <w:rPr>
          <w:rFonts w:hint="eastAsia" w:ascii="宋体"/>
          <w:b w:val="0"/>
          <w:bCs/>
          <w:color w:val="auto"/>
          <w:highlight w:val="none"/>
          <w:lang w:val="en-US" w:eastAsia="zh-CN"/>
        </w:rPr>
        <w:t>3</w:t>
      </w:r>
      <w:r>
        <w:rPr>
          <w:rFonts w:hint="eastAsia" w:ascii="宋体"/>
          <w:b w:val="0"/>
          <w:bCs/>
          <w:color w:val="auto"/>
          <w:highlight w:val="none"/>
        </w:rPr>
        <w:t>）其他：</w:t>
      </w:r>
      <w:r>
        <w:rPr>
          <w:rFonts w:hint="eastAsia" w:ascii="宋体"/>
          <w:b w:val="0"/>
          <w:bCs/>
          <w:color w:val="auto"/>
          <w:highlight w:val="none"/>
          <w:u w:val="single"/>
        </w:rPr>
        <w:t xml:space="preserve">    </w:t>
      </w:r>
      <w:r>
        <w:rPr>
          <w:rFonts w:hint="eastAsia" w:ascii="宋体"/>
          <w:b w:val="0"/>
          <w:bCs/>
          <w:color w:val="auto"/>
          <w:highlight w:val="none"/>
          <w:u w:val="single"/>
          <w:lang w:val="en-US" w:eastAsia="zh-CN"/>
        </w:rPr>
        <w:t>/</w:t>
      </w:r>
      <w:r>
        <w:rPr>
          <w:rFonts w:hint="eastAsia" w:ascii="宋体"/>
          <w:b w:val="0"/>
          <w:bCs/>
          <w:color w:val="auto"/>
          <w:highlight w:val="none"/>
          <w:u w:val="single"/>
        </w:rPr>
        <w:t xml:space="preserve">      </w:t>
      </w:r>
    </w:p>
    <w:p w14:paraId="5212E645">
      <w:pPr>
        <w:pStyle w:val="11"/>
        <w:numPr>
          <w:ilvl w:val="0"/>
          <w:numId w:val="4"/>
        </w:numPr>
        <w:spacing w:after="0"/>
        <w:ind w:left="0" w:leftChars="0" w:firstLine="422" w:firstLineChars="200"/>
        <w:rPr>
          <w:rFonts w:hint="eastAsia" w:ascii="宋体"/>
          <w:color w:val="auto"/>
          <w:highlight w:val="none"/>
          <w:shd w:val="clear" w:color="auto" w:fill="auto"/>
        </w:rPr>
      </w:pPr>
      <w:r>
        <w:rPr>
          <w:rFonts w:hint="eastAsia" w:ascii="宋体"/>
          <w:color w:val="auto"/>
          <w:highlight w:val="none"/>
          <w:shd w:val="clear" w:color="auto" w:fill="auto"/>
        </w:rPr>
        <w:t>合同价格和支付</w:t>
      </w:r>
    </w:p>
    <w:p w14:paraId="78CE4367">
      <w:pPr>
        <w:pStyle w:val="5"/>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 xml:space="preserve">14.1 </w:t>
      </w:r>
      <w:r>
        <w:rPr>
          <w:rFonts w:hint="eastAsia" w:ascii="宋体" w:hAnsi="宋体"/>
          <w:color w:val="auto"/>
          <w:szCs w:val="21"/>
          <w:highlight w:val="none"/>
        </w:rPr>
        <w:tab/>
      </w:r>
      <w:r>
        <w:rPr>
          <w:rFonts w:hint="eastAsia" w:ascii="宋体" w:hAnsi="宋体"/>
          <w:color w:val="auto"/>
          <w:szCs w:val="21"/>
          <w:highlight w:val="none"/>
        </w:rPr>
        <w:t>合同价格</w:t>
      </w:r>
    </w:p>
    <w:p w14:paraId="5113A1B6">
      <w:pPr>
        <w:pStyle w:val="11"/>
        <w:keepNext w:val="0"/>
        <w:keepLines w:val="0"/>
        <w:pageBreakBefore w:val="0"/>
        <w:numPr>
          <w:ilvl w:val="0"/>
          <w:numId w:val="0"/>
        </w:numPr>
        <w:kinsoku/>
        <w:wordWrap/>
        <w:overflowPunct/>
        <w:topLinePunct w:val="0"/>
        <w:bidi w:val="0"/>
        <w:spacing w:after="0" w:line="360" w:lineRule="auto"/>
        <w:ind w:leftChars="200"/>
        <w:outlineLvl w:val="9"/>
        <w:rPr>
          <w:rFonts w:hint="eastAsia" w:ascii="宋体"/>
          <w:color w:val="auto"/>
          <w:highlight w:val="none"/>
          <w:shd w:val="clear" w:color="auto" w:fill="auto"/>
        </w:rPr>
      </w:pPr>
      <w:r>
        <w:rPr>
          <w:rFonts w:hint="eastAsia" w:ascii="宋体"/>
          <w:color w:val="auto"/>
          <w:highlight w:val="none"/>
          <w:shd w:val="clear" w:color="auto" w:fill="auto"/>
        </w:rPr>
        <w:t>增加以下内容到第14.1款：</w:t>
      </w:r>
    </w:p>
    <w:p w14:paraId="0F480509">
      <w:pPr>
        <w:pStyle w:val="11"/>
        <w:keepNext w:val="0"/>
        <w:keepLines w:val="0"/>
        <w:pageBreakBefore w:val="0"/>
        <w:shd w:val="clear" w:color="auto" w:fill="auto"/>
        <w:kinsoku/>
        <w:wordWrap/>
        <w:overflowPunct/>
        <w:topLinePunct w:val="0"/>
        <w:bidi w:val="0"/>
        <w:spacing w:after="0" w:line="360" w:lineRule="auto"/>
        <w:ind w:left="0" w:leftChars="0" w:firstLine="420" w:firstLineChars="200"/>
        <w:outlineLvl w:val="9"/>
        <w:rPr>
          <w:rFonts w:hint="eastAsia" w:ascii="宋体" w:hAnsi="宋体" w:cs="Times New Roman"/>
          <w:b w:val="0"/>
          <w:bCs/>
          <w:color w:val="auto"/>
          <w:szCs w:val="21"/>
          <w:highlight w:val="none"/>
          <w:shd w:val="clear" w:color="auto" w:fill="auto"/>
        </w:rPr>
      </w:pPr>
      <w:r>
        <w:rPr>
          <w:rFonts w:hint="eastAsia" w:ascii="宋体" w:hAnsi="宋体" w:cs="Times New Roman"/>
          <w:b w:val="0"/>
          <w:bCs/>
          <w:color w:val="auto"/>
          <w:szCs w:val="21"/>
          <w:highlight w:val="none"/>
          <w:shd w:val="clear" w:color="auto" w:fill="auto"/>
        </w:rPr>
        <w:t>包括暂定合同价和正式合同价。</w:t>
      </w:r>
    </w:p>
    <w:p w14:paraId="0AC1CA0C">
      <w:pPr>
        <w:pStyle w:val="11"/>
        <w:keepNext w:val="0"/>
        <w:keepLines w:val="0"/>
        <w:pageBreakBefore w:val="0"/>
        <w:shd w:val="clear" w:color="auto" w:fill="auto"/>
        <w:kinsoku/>
        <w:wordWrap/>
        <w:overflowPunct/>
        <w:topLinePunct w:val="0"/>
        <w:bidi w:val="0"/>
        <w:spacing w:after="0" w:line="360" w:lineRule="auto"/>
        <w:ind w:left="0" w:leftChars="0" w:firstLine="420" w:firstLineChars="200"/>
        <w:outlineLvl w:val="9"/>
        <w:rPr>
          <w:rFonts w:hint="eastAsia" w:ascii="宋体" w:hAnsi="宋体" w:cs="Times New Roman"/>
          <w:b w:val="0"/>
          <w:bCs/>
          <w:color w:val="auto"/>
          <w:szCs w:val="21"/>
          <w:highlight w:val="none"/>
          <w:shd w:val="clear" w:color="auto" w:fill="auto"/>
        </w:rPr>
      </w:pPr>
      <w:r>
        <w:rPr>
          <w:rFonts w:hint="eastAsia" w:ascii="宋体" w:hAnsi="宋体" w:cs="Times New Roman"/>
          <w:b w:val="0"/>
          <w:bCs/>
          <w:color w:val="auto"/>
          <w:szCs w:val="21"/>
          <w:highlight w:val="none"/>
          <w:shd w:val="clear" w:color="auto" w:fill="auto"/>
        </w:rPr>
        <w:t>暂定合同价即为投标报价。</w:t>
      </w:r>
    </w:p>
    <w:p w14:paraId="72B50E03">
      <w:pPr>
        <w:pStyle w:val="11"/>
        <w:keepNext w:val="0"/>
        <w:keepLines w:val="0"/>
        <w:pageBreakBefore w:val="0"/>
        <w:shd w:val="clear" w:color="auto" w:fill="auto"/>
        <w:kinsoku/>
        <w:wordWrap/>
        <w:overflowPunct/>
        <w:topLinePunct w:val="0"/>
        <w:bidi w:val="0"/>
        <w:spacing w:after="0" w:line="360" w:lineRule="auto"/>
        <w:ind w:left="0" w:leftChars="0" w:firstLine="422" w:firstLineChars="200"/>
        <w:outlineLvl w:val="9"/>
        <w:rPr>
          <w:rFonts w:hint="eastAsia" w:ascii="宋体" w:hAnsi="宋体" w:eastAsia="宋体" w:cs="Times New Roman"/>
          <w:b w:val="0"/>
          <w:bCs/>
          <w:color w:val="auto"/>
          <w:szCs w:val="21"/>
          <w:highlight w:val="none"/>
          <w:shd w:val="clear" w:color="auto" w:fill="auto"/>
          <w:lang w:eastAsia="zh-CN"/>
        </w:rPr>
      </w:pPr>
      <w:r>
        <w:rPr>
          <w:rFonts w:hint="eastAsia" w:ascii="宋体" w:hAnsi="宋体" w:eastAsia="宋体" w:cs="Times New Roman"/>
          <w:b/>
          <w:bCs w:val="0"/>
          <w:color w:val="auto"/>
          <w:szCs w:val="21"/>
          <w:highlight w:val="none"/>
          <w:shd w:val="clear" w:color="auto" w:fill="auto"/>
        </w:rPr>
        <w:t>正式合同价=（招标范围内批复的施工费最高限价-安全文明施工费-暂估价）×</w:t>
      </w:r>
      <w:r>
        <w:rPr>
          <w:rFonts w:hint="eastAsia" w:hAnsi="宋体" w:cs="宋体"/>
          <w:b/>
          <w:bCs w:val="0"/>
          <w:color w:val="auto"/>
          <w:sz w:val="22"/>
          <w:szCs w:val="22"/>
          <w:highlight w:val="none"/>
          <w:shd w:val="clear" w:color="auto" w:fill="auto"/>
          <w:lang w:eastAsia="zh-CN"/>
        </w:rPr>
        <w:t>（</w:t>
      </w:r>
      <w:r>
        <w:rPr>
          <w:rFonts w:hint="eastAsia" w:hAnsi="宋体" w:cs="宋体"/>
          <w:b/>
          <w:bCs w:val="0"/>
          <w:color w:val="auto"/>
          <w:sz w:val="22"/>
          <w:szCs w:val="22"/>
          <w:highlight w:val="none"/>
          <w:shd w:val="clear" w:color="auto" w:fill="auto"/>
          <w:lang w:val="en-US" w:eastAsia="zh-CN"/>
        </w:rPr>
        <w:t>1-</w:t>
      </w:r>
      <w:r>
        <w:rPr>
          <w:rFonts w:hint="eastAsia" w:ascii="宋体" w:hAnsi="宋体" w:eastAsia="宋体" w:cs="宋体"/>
          <w:b/>
          <w:bCs w:val="0"/>
          <w:color w:val="auto"/>
          <w:sz w:val="22"/>
          <w:szCs w:val="22"/>
          <w:highlight w:val="none"/>
          <w:shd w:val="clear" w:color="auto" w:fill="auto"/>
        </w:rPr>
        <w:t>投标</w:t>
      </w:r>
      <w:r>
        <w:rPr>
          <w:rFonts w:hint="eastAsia" w:hAnsi="宋体" w:cs="宋体"/>
          <w:b/>
          <w:bCs w:val="0"/>
          <w:color w:val="auto"/>
          <w:sz w:val="22"/>
          <w:szCs w:val="22"/>
          <w:highlight w:val="none"/>
          <w:shd w:val="clear" w:color="auto" w:fill="auto"/>
          <w:lang w:val="en-US" w:eastAsia="zh-CN"/>
        </w:rPr>
        <w:t>下浮</w:t>
      </w:r>
      <w:r>
        <w:rPr>
          <w:rFonts w:hint="eastAsia" w:ascii="宋体" w:hAnsi="宋体" w:eastAsia="宋体" w:cs="宋体"/>
          <w:b/>
          <w:bCs w:val="0"/>
          <w:color w:val="auto"/>
          <w:sz w:val="22"/>
          <w:szCs w:val="22"/>
          <w:highlight w:val="none"/>
          <w:shd w:val="clear" w:color="auto" w:fill="auto"/>
        </w:rPr>
        <w:t>率</w:t>
      </w:r>
      <w:r>
        <w:rPr>
          <w:rFonts w:hint="eastAsia" w:hAnsi="宋体" w:cs="宋体"/>
          <w:b/>
          <w:bCs w:val="0"/>
          <w:color w:val="auto"/>
          <w:sz w:val="22"/>
          <w:szCs w:val="22"/>
          <w:highlight w:val="none"/>
          <w:shd w:val="clear" w:color="auto" w:fill="auto"/>
          <w:lang w:eastAsia="zh-CN"/>
        </w:rPr>
        <w:t>）</w:t>
      </w:r>
      <w:r>
        <w:rPr>
          <w:rFonts w:hint="eastAsia" w:ascii="宋体" w:hAnsi="宋体" w:eastAsia="宋体" w:cs="Times New Roman"/>
          <w:b/>
          <w:bCs w:val="0"/>
          <w:color w:val="auto"/>
          <w:szCs w:val="21"/>
          <w:highlight w:val="none"/>
          <w:shd w:val="clear" w:color="auto" w:fill="auto"/>
        </w:rPr>
        <w:t>+安全文明施工费+暂估价</w:t>
      </w:r>
      <w:r>
        <w:rPr>
          <w:rFonts w:hint="eastAsia" w:ascii="宋体" w:hAnsi="宋体" w:eastAsia="宋体" w:cs="Times New Roman"/>
          <w:b w:val="0"/>
          <w:bCs/>
          <w:color w:val="auto"/>
          <w:szCs w:val="21"/>
          <w:highlight w:val="none"/>
          <w:shd w:val="clear" w:color="auto" w:fill="auto"/>
        </w:rPr>
        <w:t>，由合同双方于施工图（含预算）评审后一个月内签定补充协议确定。</w:t>
      </w:r>
    </w:p>
    <w:p w14:paraId="46245047">
      <w:pPr>
        <w:pStyle w:val="11"/>
        <w:keepNext w:val="0"/>
        <w:keepLines w:val="0"/>
        <w:pageBreakBefore w:val="0"/>
        <w:shd w:val="clear" w:color="auto" w:fill="auto"/>
        <w:kinsoku/>
        <w:wordWrap/>
        <w:overflowPunct/>
        <w:topLinePunct w:val="0"/>
        <w:bidi w:val="0"/>
        <w:spacing w:after="0" w:line="360" w:lineRule="auto"/>
        <w:ind w:left="0" w:leftChars="0" w:firstLine="420" w:firstLineChars="200"/>
        <w:outlineLvl w:val="9"/>
        <w:rPr>
          <w:rFonts w:hint="eastAsia" w:ascii="宋体" w:hAnsi="宋体" w:cs="Times New Roman"/>
          <w:b w:val="0"/>
          <w:bCs/>
          <w:color w:val="auto"/>
          <w:szCs w:val="21"/>
          <w:highlight w:val="none"/>
          <w:shd w:val="clear" w:color="auto" w:fill="auto"/>
        </w:rPr>
      </w:pPr>
      <w:r>
        <w:rPr>
          <w:rFonts w:hint="eastAsia" w:ascii="宋体" w:hAnsi="宋体" w:cs="Times New Roman"/>
          <w:b w:val="0"/>
          <w:bCs/>
          <w:color w:val="auto"/>
          <w:szCs w:val="21"/>
          <w:highlight w:val="none"/>
          <w:shd w:val="clear" w:color="auto" w:fill="auto"/>
        </w:rPr>
        <w:t>招标范围内最高限价计算依据：评审后的施工图及预算、招标文件包含的招标范围、施工图预算编制原则、最高投标限价组成方式。</w:t>
      </w:r>
    </w:p>
    <w:p w14:paraId="6B69F448">
      <w:pPr>
        <w:pStyle w:val="11"/>
        <w:keepNext w:val="0"/>
        <w:keepLines w:val="0"/>
        <w:pageBreakBefore w:val="0"/>
        <w:shd w:val="clear" w:color="auto" w:fill="auto"/>
        <w:kinsoku/>
        <w:wordWrap/>
        <w:overflowPunct/>
        <w:topLinePunct w:val="0"/>
        <w:bidi w:val="0"/>
        <w:spacing w:after="0" w:line="360" w:lineRule="auto"/>
        <w:ind w:left="0" w:leftChars="0" w:firstLine="420" w:firstLineChars="200"/>
        <w:outlineLvl w:val="9"/>
        <w:rPr>
          <w:rFonts w:hint="eastAsia" w:ascii="宋体" w:hAnsi="宋体" w:cs="Times New Roman"/>
          <w:b w:val="0"/>
          <w:bCs/>
          <w:color w:val="auto"/>
          <w:szCs w:val="21"/>
          <w:highlight w:val="none"/>
          <w:shd w:val="clear" w:color="auto" w:fill="auto"/>
        </w:rPr>
      </w:pPr>
      <w:r>
        <w:rPr>
          <w:rFonts w:hint="eastAsia" w:ascii="宋体" w:hAnsi="宋体" w:cs="Times New Roman"/>
          <w:b w:val="0"/>
          <w:bCs/>
          <w:color w:val="auto"/>
          <w:szCs w:val="21"/>
          <w:highlight w:val="none"/>
          <w:shd w:val="clear" w:color="auto" w:fill="auto"/>
        </w:rPr>
        <w:t>最高限价由发包人委托的造价咨询单位依据上述原则进行编制，经三方（发包人、承包人、造价咨询单位）确认后，合同双方签订补充协议确定正式合同价。</w:t>
      </w:r>
    </w:p>
    <w:p w14:paraId="2F89576B">
      <w:pPr>
        <w:pStyle w:val="11"/>
        <w:keepNext w:val="0"/>
        <w:keepLines w:val="0"/>
        <w:pageBreakBefore w:val="0"/>
        <w:shd w:val="clear" w:color="auto" w:fill="auto"/>
        <w:kinsoku/>
        <w:wordWrap/>
        <w:overflowPunct/>
        <w:topLinePunct w:val="0"/>
        <w:bidi w:val="0"/>
        <w:spacing w:after="0" w:line="360" w:lineRule="auto"/>
        <w:ind w:left="0" w:leftChars="0" w:firstLine="420" w:firstLineChars="200"/>
        <w:outlineLvl w:val="9"/>
        <w:rPr>
          <w:rFonts w:hint="eastAsia" w:ascii="宋体" w:hAnsi="宋体" w:cs="Times New Roman"/>
          <w:b w:val="0"/>
          <w:bCs/>
          <w:color w:val="auto"/>
          <w:szCs w:val="21"/>
          <w:highlight w:val="none"/>
          <w:shd w:val="clear" w:color="auto" w:fill="auto"/>
        </w:rPr>
      </w:pPr>
      <w:r>
        <w:rPr>
          <w:rFonts w:hint="eastAsia" w:ascii="宋体" w:hAnsi="宋体" w:cs="Times New Roman"/>
          <w:b w:val="0"/>
          <w:bCs/>
          <w:color w:val="auto"/>
          <w:szCs w:val="21"/>
          <w:highlight w:val="none"/>
          <w:shd w:val="clear" w:color="auto" w:fill="auto"/>
        </w:rPr>
        <w:t>正式合同价对应评审后的施工图，合同内提到的设计变更（含工程量变更）为针对评审后施工图的变更。</w:t>
      </w:r>
    </w:p>
    <w:p w14:paraId="12110AD7">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14.</w:t>
      </w:r>
      <w:r>
        <w:rPr>
          <w:rFonts w:ascii="宋体" w:hAnsi="宋体"/>
          <w:color w:val="auto"/>
          <w:szCs w:val="21"/>
          <w:highlight w:val="none"/>
          <w:shd w:val="clear" w:color="auto" w:fill="auto"/>
        </w:rPr>
        <w:t>2</w:t>
      </w:r>
      <w:r>
        <w:rPr>
          <w:rFonts w:hint="eastAsia" w:ascii="宋体" w:hAnsi="宋体"/>
          <w:color w:val="auto"/>
          <w:szCs w:val="21"/>
          <w:highlight w:val="none"/>
          <w:shd w:val="clear" w:color="auto" w:fill="auto"/>
        </w:rPr>
        <w:t xml:space="preserve"> </w:t>
      </w:r>
      <w:r>
        <w:rPr>
          <w:rFonts w:hint="eastAsia" w:ascii="宋体" w:hAnsi="宋体"/>
          <w:color w:val="auto"/>
          <w:szCs w:val="21"/>
          <w:highlight w:val="none"/>
          <w:shd w:val="clear" w:color="auto" w:fill="auto"/>
        </w:rPr>
        <w:tab/>
      </w:r>
      <w:r>
        <w:rPr>
          <w:rFonts w:hint="eastAsia" w:ascii="宋体" w:hAnsi="宋体"/>
          <w:color w:val="auto"/>
          <w:szCs w:val="21"/>
          <w:highlight w:val="none"/>
          <w:shd w:val="clear" w:color="auto" w:fill="auto"/>
        </w:rPr>
        <w:t>预付款</w:t>
      </w:r>
    </w:p>
    <w:p w14:paraId="59755981">
      <w:pPr>
        <w:pStyle w:val="11"/>
        <w:spacing w:after="0"/>
        <w:ind w:left="0" w:leftChars="0" w:firstLine="422" w:firstLineChars="200"/>
        <w:rPr>
          <w:rFonts w:hint="eastAsia" w:ascii="宋体"/>
          <w:color w:val="auto"/>
          <w:highlight w:val="none"/>
        </w:rPr>
      </w:pPr>
      <w:r>
        <w:rPr>
          <w:rFonts w:hint="eastAsia" w:ascii="宋体"/>
          <w:color w:val="auto"/>
          <w:highlight w:val="none"/>
          <w:lang w:val="en-US" w:eastAsia="zh-CN"/>
        </w:rPr>
        <w:t>替换</w:t>
      </w:r>
      <w:r>
        <w:rPr>
          <w:rFonts w:hint="eastAsia" w:ascii="宋体"/>
          <w:color w:val="auto"/>
          <w:highlight w:val="none"/>
        </w:rPr>
        <w:t>以下内容到第14.2款：</w:t>
      </w:r>
    </w:p>
    <w:p w14:paraId="5CD6CA7D">
      <w:pPr>
        <w:pStyle w:val="11"/>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lang w:val="en-US" w:eastAsia="zh-CN"/>
        </w:rPr>
        <w:t>14.2.2安全文明施工费预付款</w:t>
      </w:r>
    </w:p>
    <w:p w14:paraId="0718EE9F">
      <w:pPr>
        <w:pStyle w:val="11"/>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lang w:val="en-US" w:eastAsia="zh-CN"/>
        </w:rPr>
        <w:t>安全文明施工费预付款比例或金额：安全文明施工费合同价的</w:t>
      </w:r>
      <w:r>
        <w:rPr>
          <w:rFonts w:hint="eastAsia" w:ascii="宋体"/>
          <w:b w:val="0"/>
          <w:bCs/>
          <w:color w:val="auto"/>
          <w:highlight w:val="none"/>
          <w:u w:val="single"/>
          <w:lang w:val="en-US" w:eastAsia="zh-CN"/>
        </w:rPr>
        <w:t>60%</w:t>
      </w:r>
      <w:r>
        <w:rPr>
          <w:rFonts w:hint="eastAsia" w:ascii="宋体"/>
          <w:b w:val="0"/>
          <w:bCs/>
          <w:color w:val="auto"/>
          <w:highlight w:val="none"/>
          <w:lang w:val="en-US" w:eastAsia="zh-CN"/>
        </w:rPr>
        <w:t>。</w:t>
      </w:r>
    </w:p>
    <w:p w14:paraId="5A55F913">
      <w:pPr>
        <w:pStyle w:val="11"/>
        <w:spacing w:after="0"/>
        <w:ind w:left="0" w:leftChars="0" w:firstLine="420" w:firstLineChars="200"/>
        <w:rPr>
          <w:rFonts w:hint="eastAsia" w:ascii="宋体"/>
          <w:b w:val="0"/>
          <w:bCs/>
          <w:color w:val="auto"/>
          <w:highlight w:val="none"/>
          <w:lang w:eastAsia="zh-CN"/>
        </w:rPr>
      </w:pPr>
      <w:r>
        <w:rPr>
          <w:rFonts w:hint="eastAsia" w:ascii="宋体"/>
          <w:b w:val="0"/>
          <w:bCs/>
          <w:color w:val="auto"/>
          <w:highlight w:val="none"/>
          <w:lang w:val="en-US" w:eastAsia="zh-CN"/>
        </w:rPr>
        <w:t>安全文明施工费预付款在承包人递交预付款支付证书后，随预付款同步支付，或单独申请支付</w:t>
      </w:r>
      <w:r>
        <w:rPr>
          <w:rFonts w:hint="eastAsia" w:ascii="宋体"/>
          <w:b w:val="0"/>
          <w:bCs/>
          <w:color w:val="auto"/>
          <w:highlight w:val="none"/>
          <w:lang w:eastAsia="zh-CN"/>
        </w:rPr>
        <w:t>。</w:t>
      </w:r>
    </w:p>
    <w:p w14:paraId="36D0D932">
      <w:pPr>
        <w:pStyle w:val="5"/>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 xml:space="preserve">14.3 </w:t>
      </w:r>
      <w:r>
        <w:rPr>
          <w:rFonts w:hint="eastAsia" w:ascii="宋体" w:hAnsi="宋体"/>
          <w:color w:val="auto"/>
          <w:szCs w:val="21"/>
          <w:highlight w:val="none"/>
          <w:shd w:val="clear" w:color="auto" w:fill="auto"/>
        </w:rPr>
        <w:tab/>
      </w:r>
      <w:r>
        <w:rPr>
          <w:rFonts w:hint="eastAsia" w:ascii="宋体" w:hAnsi="宋体"/>
          <w:color w:val="auto"/>
          <w:szCs w:val="21"/>
          <w:highlight w:val="none"/>
          <w:shd w:val="clear" w:color="auto" w:fill="auto"/>
        </w:rPr>
        <w:t>期中支付证书的申请</w:t>
      </w:r>
    </w:p>
    <w:p w14:paraId="57D65812">
      <w:pPr>
        <w:pStyle w:val="11"/>
        <w:spacing w:after="0"/>
        <w:ind w:left="0" w:leftChars="0" w:firstLine="422" w:firstLineChars="200"/>
        <w:rPr>
          <w:rFonts w:hint="eastAsia" w:ascii="宋体"/>
          <w:color w:val="auto"/>
          <w:highlight w:val="none"/>
        </w:rPr>
      </w:pPr>
      <w:r>
        <w:rPr>
          <w:rFonts w:hint="eastAsia" w:ascii="宋体"/>
          <w:color w:val="auto"/>
          <w:highlight w:val="none"/>
        </w:rPr>
        <w:t>替换以下内容到第14.3款：</w:t>
      </w:r>
    </w:p>
    <w:p w14:paraId="7EAF6617">
      <w:pPr>
        <w:pStyle w:val="11"/>
        <w:spacing w:after="0"/>
        <w:ind w:left="0" w:leftChars="0" w:firstLine="420" w:firstLineChars="200"/>
        <w:rPr>
          <w:rFonts w:hint="eastAsia" w:ascii="宋体" w:cs="Times New Roman"/>
          <w:b w:val="0"/>
          <w:bCs w:val="0"/>
          <w:color w:val="auto"/>
          <w:highlight w:val="none"/>
          <w:lang w:val="en-US" w:eastAsia="zh-CN"/>
        </w:rPr>
      </w:pPr>
      <w:r>
        <w:rPr>
          <w:rFonts w:hint="eastAsia" w:ascii="宋体" w:cs="Times New Roman"/>
          <w:b w:val="0"/>
          <w:bCs w:val="0"/>
          <w:color w:val="auto"/>
          <w:highlight w:val="none"/>
          <w:lang w:val="en-US" w:eastAsia="zh-CN"/>
        </w:rPr>
        <w:t>14.3.5 中间结算（项目结合工程实际选择性开展）</w:t>
      </w:r>
    </w:p>
    <w:p w14:paraId="379631C2">
      <w:pPr>
        <w:pStyle w:val="11"/>
        <w:spacing w:after="0"/>
        <w:ind w:left="0" w:leftChars="0" w:firstLine="420" w:firstLineChars="200"/>
        <w:rPr>
          <w:rFonts w:hint="default" w:ascii="宋体" w:cs="Times New Roman"/>
          <w:b w:val="0"/>
          <w:bCs w:val="0"/>
          <w:color w:val="auto"/>
          <w:highlight w:val="none"/>
          <w:lang w:val="en-US" w:eastAsia="zh-CN"/>
        </w:rPr>
      </w:pPr>
      <w:r>
        <w:rPr>
          <w:rFonts w:hint="default" w:ascii="宋体" w:cs="Times New Roman"/>
          <w:b w:val="0"/>
          <w:bCs w:val="0"/>
          <w:color w:val="auto"/>
          <w:highlight w:val="none"/>
          <w:lang w:val="en-US" w:eastAsia="zh-CN"/>
        </w:rPr>
        <w:t>为加快基建结算进度，提高基建结算效率和质量，结合工程实际开展中间结算工作。</w:t>
      </w:r>
    </w:p>
    <w:p w14:paraId="10E66FC3">
      <w:pPr>
        <w:pStyle w:val="11"/>
        <w:spacing w:after="0"/>
        <w:ind w:left="0" w:leftChars="0" w:firstLine="420" w:firstLineChars="200"/>
        <w:rPr>
          <w:rFonts w:hint="default" w:ascii="宋体" w:cs="Times New Roman"/>
          <w:b w:val="0"/>
          <w:bCs w:val="0"/>
          <w:color w:val="auto"/>
          <w:highlight w:val="none"/>
          <w:lang w:val="en-US" w:eastAsia="zh-CN"/>
        </w:rPr>
      </w:pPr>
      <w:r>
        <w:rPr>
          <w:rFonts w:hint="default" w:ascii="宋体" w:cs="Times New Roman"/>
          <w:b w:val="0"/>
          <w:bCs w:val="0"/>
          <w:color w:val="auto"/>
          <w:highlight w:val="none"/>
          <w:lang w:val="en-US" w:eastAsia="zh-CN"/>
        </w:rPr>
        <w:t>承包人应在每月30日前提交上一月度已完工程量及相应的支持性证明文件及结算付款申请，经监理工程师核查后出具经发包人、造价咨询单位签认的进度付款证书作为进度款支付的凭证。中间结算应在每季度的第三个月15日前(以开工报告为准，第一次为开工后第三个月15日前，此后按每三个月一季度顺推)提交本季度已完工程量核对清单、已完工程量相应的设计变更通知单及其附录、以及其他引起费用变化的项目过程资料，报监理单位和业主项目部审核，并提交已完工程量送审计价书作为中间结算文件交由造价咨询单位进行审核，并出具中间结算报告。中间结算报告对当季度已支付的进度款进行比对，当出现超支的情况需于下个月报审的进度款时进行扣减。因特殊情况提交部分已完工工程量有困难的，经基建部确认，可推迟至下一季度提交，若推迟下季度已满足提交条件的资料仍未及时提交的，不予后补。对于整个工程的人工、材料和施工机械费用价差调整在竣工结算时一并结算，在中间结算中无需进行提交。</w:t>
      </w:r>
    </w:p>
    <w:p w14:paraId="78245301">
      <w:pPr>
        <w:pStyle w:val="11"/>
        <w:spacing w:after="0"/>
        <w:ind w:left="0" w:leftChars="0" w:firstLine="420" w:firstLineChars="200"/>
        <w:rPr>
          <w:rFonts w:hint="default" w:ascii="宋体" w:cs="Times New Roman"/>
          <w:b w:val="0"/>
          <w:bCs w:val="0"/>
          <w:color w:val="auto"/>
          <w:highlight w:val="none"/>
          <w:lang w:val="en-US" w:eastAsia="zh-CN"/>
        </w:rPr>
      </w:pPr>
      <w:r>
        <w:rPr>
          <w:rFonts w:hint="default" w:ascii="宋体" w:cs="Times New Roman"/>
          <w:b w:val="0"/>
          <w:bCs w:val="0"/>
          <w:color w:val="auto"/>
          <w:highlight w:val="none"/>
          <w:lang w:val="en-US" w:eastAsia="zh-CN"/>
        </w:rPr>
        <w:t>承包人从开工日期起，安排专门技经人员统计已完工工程量（包含设计变更、合同外委托、费用变化相关等），工地例会前交付监理审核，并报业主项目部。统计的已完工工程量是中间结算的计量依据，属于过程资料之一。如过程资料滞后工程进度，并影响中间结算的，进度款按已有的过程资料进行计价支付。</w:t>
      </w:r>
    </w:p>
    <w:p w14:paraId="1F30A16C">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 xml:space="preserve">14.7 </w:t>
      </w:r>
      <w:r>
        <w:rPr>
          <w:rFonts w:hint="eastAsia" w:ascii="宋体" w:hAnsi="宋体"/>
          <w:color w:val="auto"/>
          <w:szCs w:val="21"/>
          <w:highlight w:val="none"/>
          <w:shd w:val="clear" w:color="auto" w:fill="auto"/>
        </w:rPr>
        <w:tab/>
      </w:r>
      <w:r>
        <w:rPr>
          <w:rFonts w:hint="eastAsia" w:ascii="宋体" w:hAnsi="宋体"/>
          <w:color w:val="auto"/>
          <w:szCs w:val="21"/>
          <w:highlight w:val="none"/>
          <w:shd w:val="clear" w:color="auto" w:fill="auto"/>
        </w:rPr>
        <w:t>支付</w:t>
      </w:r>
    </w:p>
    <w:p w14:paraId="4A5351BB">
      <w:pPr>
        <w:pStyle w:val="5"/>
        <w:spacing w:after="0" w:line="360" w:lineRule="auto"/>
        <w:ind w:left="0" w:leftChars="0" w:firstLine="422" w:firstLineChars="200"/>
        <w:rPr>
          <w:rFonts w:ascii="宋体" w:hAnsi="宋体"/>
          <w:b/>
          <w:bCs/>
          <w:color w:val="auto"/>
          <w:szCs w:val="21"/>
          <w:highlight w:val="none"/>
          <w:shd w:val="clear" w:color="auto" w:fill="auto"/>
        </w:rPr>
      </w:pPr>
      <w:r>
        <w:rPr>
          <w:rFonts w:hint="eastAsia" w:ascii="宋体" w:hAnsi="宋体"/>
          <w:b/>
          <w:bCs/>
          <w:color w:val="auto"/>
          <w:szCs w:val="21"/>
          <w:highlight w:val="none"/>
          <w:shd w:val="clear" w:color="auto" w:fill="auto"/>
        </w:rPr>
        <w:t>增加以下内容到第14.7款：</w:t>
      </w:r>
    </w:p>
    <w:p w14:paraId="05B2B332">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1、招标代理费结算价=本项目的招标代理费实际结算金额。</w:t>
      </w:r>
    </w:p>
    <w:p w14:paraId="3B6CDC46">
      <w:pPr>
        <w:pStyle w:val="11"/>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rPr>
        <w:t>承包人根据招标代理机构开具的招标代理费发票金额列入结算费用，向发包人办理结算请款</w:t>
      </w:r>
      <w:r>
        <w:rPr>
          <w:rFonts w:hint="eastAsia" w:ascii="宋体"/>
          <w:b w:val="0"/>
          <w:bCs/>
          <w:color w:val="auto"/>
          <w:highlight w:val="none"/>
          <w:lang w:eastAsia="zh-CN"/>
        </w:rPr>
        <w:t>，在结算招标代理费时，以实际发生费用为基准，按照增值税率</w:t>
      </w:r>
      <w:r>
        <w:rPr>
          <w:rFonts w:hint="eastAsia" w:ascii="宋体"/>
          <w:b w:val="0"/>
          <w:bCs/>
          <w:color w:val="auto"/>
          <w:highlight w:val="none"/>
          <w:lang w:val="en-US" w:eastAsia="zh-CN"/>
        </w:rPr>
        <w:t>9</w:t>
      </w:r>
      <w:r>
        <w:rPr>
          <w:rFonts w:hint="eastAsia" w:ascii="宋体"/>
          <w:b w:val="0"/>
          <w:bCs/>
          <w:color w:val="auto"/>
          <w:highlight w:val="none"/>
          <w:lang w:eastAsia="zh-CN"/>
        </w:rPr>
        <w:t>%开具增值税专用发票</w:t>
      </w:r>
      <w:r>
        <w:rPr>
          <w:rFonts w:hint="eastAsia" w:ascii="宋体"/>
          <w:b w:val="0"/>
          <w:bCs/>
          <w:color w:val="auto"/>
          <w:highlight w:val="none"/>
        </w:rPr>
        <w:t>。</w:t>
      </w:r>
    </w:p>
    <w:p w14:paraId="74E7DE97">
      <w:pPr>
        <w:pStyle w:val="11"/>
        <w:shd w:val="clear" w:color="auto" w:fill="auto"/>
        <w:spacing w:after="0"/>
        <w:ind w:left="0" w:leftChars="0" w:firstLine="420" w:firstLineChars="200"/>
        <w:rPr>
          <w:rFonts w:hint="default" w:ascii="宋体"/>
          <w:b w:val="0"/>
          <w:bCs/>
          <w:color w:val="auto"/>
          <w:highlight w:val="none"/>
          <w:lang w:val="en-US" w:eastAsia="zh-CN"/>
        </w:rPr>
      </w:pPr>
      <w:r>
        <w:rPr>
          <w:rFonts w:hint="eastAsia" w:ascii="宋体"/>
          <w:b w:val="0"/>
          <w:bCs/>
          <w:color w:val="auto"/>
          <w:highlight w:val="none"/>
          <w:lang w:val="en-US" w:eastAsia="zh-CN"/>
        </w:rPr>
        <w:t>若为框架采购：</w:t>
      </w:r>
      <w:r>
        <w:rPr>
          <w:rFonts w:hint="eastAsia" w:ascii="宋体"/>
          <w:b w:val="0"/>
          <w:bCs/>
          <w:color w:val="auto"/>
          <w:highlight w:val="none"/>
          <w:u w:val="single"/>
          <w:lang w:val="en-US" w:eastAsia="zh-CN"/>
        </w:rPr>
        <w:t>招标代理费按框架内包含项目分摊结算，已实施项目的招标代理费按项目合同价结合招标文件中的《招标代理服务费费用计算表》计算，最后尚有余额未支付的，在框架范围内最后一个项目足额支付。</w:t>
      </w:r>
    </w:p>
    <w:p w14:paraId="2783408E">
      <w:pPr>
        <w:pStyle w:val="5"/>
        <w:spacing w:after="0" w:line="360" w:lineRule="auto"/>
        <w:ind w:left="0" w:leftChars="0" w:firstLine="420" w:firstLineChars="200"/>
        <w:rPr>
          <w:rFonts w:ascii="宋体" w:hAnsi="宋体"/>
          <w:color w:val="auto"/>
          <w:szCs w:val="21"/>
          <w:highlight w:val="none"/>
          <w:u w:val="none"/>
          <w:shd w:val="clear" w:color="auto" w:fill="auto"/>
        </w:rPr>
      </w:pPr>
      <w:r>
        <w:rPr>
          <w:rFonts w:hint="eastAsia" w:ascii="宋体" w:hAnsi="宋体"/>
          <w:color w:val="auto"/>
          <w:szCs w:val="21"/>
          <w:highlight w:val="none"/>
          <w:u w:val="none"/>
          <w:shd w:val="clear" w:color="auto" w:fill="auto"/>
          <w:lang w:val="en-US" w:eastAsia="zh-CN"/>
        </w:rPr>
        <w:t xml:space="preserve">2、 </w:t>
      </w:r>
      <w:r>
        <w:rPr>
          <w:rFonts w:hint="eastAsia" w:ascii="宋体" w:hAnsi="宋体"/>
          <w:color w:val="auto"/>
          <w:szCs w:val="21"/>
          <w:highlight w:val="none"/>
          <w:u w:val="none"/>
          <w:shd w:val="clear" w:color="auto" w:fill="auto"/>
        </w:rPr>
        <w:t>本合同（协议）税金费用执行《关于全面推开营业税改征增值税试点的通知》（财税[2016]36号）及国家最新税收政策，采用一般纳税人计税方法计列增值税。承包人须按规定提供采用一般纳税人计税方法计税的建筑业增值税税率的增值税专用发票，若承包人采用简易计税方法计税，结算时调整相应结算金额。</w:t>
      </w:r>
    </w:p>
    <w:p w14:paraId="0193B52C">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lang w:val="en-US" w:eastAsia="zh-CN"/>
        </w:rPr>
        <w:t>3、</w:t>
      </w:r>
      <w:r>
        <w:rPr>
          <w:rFonts w:hint="eastAsia" w:ascii="宋体" w:hAnsi="宋体"/>
          <w:color w:val="auto"/>
          <w:szCs w:val="21"/>
          <w:highlight w:val="none"/>
          <w:shd w:val="clear" w:color="auto" w:fill="auto"/>
        </w:rPr>
        <w:t>本合同（协议）结算支付方式为：电汇、商业汇票或支票以及双方认可的其它方式。如需使用商业汇票进行支付的，由款项支付方承担资金成本（买方付息贴现）。</w:t>
      </w:r>
      <w:r>
        <w:rPr>
          <w:rFonts w:hint="eastAsia" w:ascii="宋体"/>
          <w:b w:val="0"/>
          <w:bCs/>
          <w:color w:val="auto"/>
          <w:highlight w:val="none"/>
        </w:rPr>
        <w:t>乙方充分知悉并同意按双方在本合同约定的结算支付方式履行。</w:t>
      </w:r>
    </w:p>
    <w:p w14:paraId="2D3FEA23">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乙方商业汇票开票信息如下：</w:t>
      </w:r>
    </w:p>
    <w:p w14:paraId="4743FE48">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收票单位全称【              】</w:t>
      </w:r>
    </w:p>
    <w:p w14:paraId="722E0908">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银行账号【                  】</w:t>
      </w:r>
    </w:p>
    <w:p w14:paraId="770F9064">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开户银行【                  】</w:t>
      </w:r>
    </w:p>
    <w:p w14:paraId="20E22952">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开户行行号【                】</w:t>
      </w:r>
    </w:p>
    <w:p w14:paraId="5A172412">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财务联系人【               】</w:t>
      </w:r>
    </w:p>
    <w:p w14:paraId="296B164B">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联系方式【                 】</w:t>
      </w:r>
    </w:p>
    <w:p w14:paraId="6834B081">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商业汇票方式结算本合同（协议）总金额占比为【      】。</w:t>
      </w:r>
    </w:p>
    <w:p w14:paraId="416BC277">
      <w:pPr>
        <w:pStyle w:val="5"/>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rPr>
        <w:t>开立电子汇票日期视为支付日期，票据期限为【  】个月</w:t>
      </w:r>
      <w:r>
        <w:rPr>
          <w:rFonts w:hint="eastAsia" w:ascii="宋体" w:hAnsi="宋体"/>
          <w:color w:val="auto"/>
          <w:szCs w:val="21"/>
          <w:highlight w:val="none"/>
          <w:shd w:val="clear" w:color="auto" w:fill="auto"/>
          <w:lang w:eastAsia="zh-CN"/>
        </w:rPr>
        <w:t>。</w:t>
      </w:r>
    </w:p>
    <w:p w14:paraId="76E45178">
      <w:pPr>
        <w:pStyle w:val="11"/>
        <w:shd w:val="clear" w:color="auto" w:fill="auto"/>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lang w:val="en-US" w:eastAsia="zh-CN"/>
        </w:rPr>
        <w:t>4、安全文明施工费的支付</w:t>
      </w:r>
    </w:p>
    <w:p w14:paraId="05543027">
      <w:pPr>
        <w:pStyle w:val="11"/>
        <w:shd w:val="clear" w:color="auto" w:fill="auto"/>
        <w:spacing w:after="0"/>
        <w:ind w:left="0" w:leftChars="0" w:firstLine="420" w:firstLineChars="200"/>
        <w:rPr>
          <w:rFonts w:hint="default" w:ascii="宋体"/>
          <w:b w:val="0"/>
          <w:bCs/>
          <w:color w:val="auto"/>
          <w:highlight w:val="none"/>
          <w:u w:val="none"/>
          <w:lang w:val="en-US" w:eastAsia="zh-CN"/>
        </w:rPr>
      </w:pPr>
      <w:r>
        <w:rPr>
          <w:rFonts w:hint="eastAsia" w:ascii="宋体"/>
          <w:b w:val="0"/>
          <w:bCs/>
          <w:color w:val="auto"/>
          <w:highlight w:val="none"/>
          <w:lang w:val="en-US" w:eastAsia="zh-CN"/>
        </w:rPr>
        <w:t>正式合同价确定后，在补充协议中明确</w:t>
      </w:r>
      <w:r>
        <w:rPr>
          <w:rFonts w:hint="eastAsia" w:ascii="宋体"/>
          <w:b w:val="0"/>
          <w:bCs/>
          <w:color w:val="auto"/>
          <w:highlight w:val="none"/>
        </w:rPr>
        <w:t>安全文明施工费金额</w:t>
      </w:r>
      <w:r>
        <w:rPr>
          <w:rFonts w:hint="eastAsia" w:ascii="宋体"/>
          <w:b w:val="0"/>
          <w:bCs/>
          <w:color w:val="auto"/>
          <w:highlight w:val="none"/>
          <w:lang w:eastAsia="zh-CN"/>
        </w:rPr>
        <w:t>。</w:t>
      </w:r>
      <w:r>
        <w:rPr>
          <w:rFonts w:hint="eastAsia" w:ascii="宋体"/>
          <w:b w:val="0"/>
          <w:bCs/>
          <w:color w:val="auto"/>
          <w:highlight w:val="none"/>
          <w:lang w:val="en-US" w:eastAsia="zh-CN"/>
        </w:rPr>
        <w:t>最终结算金额</w:t>
      </w:r>
      <w:r>
        <w:rPr>
          <w:rFonts w:hint="eastAsia" w:ascii="宋体"/>
          <w:b w:val="0"/>
          <w:bCs/>
          <w:color w:val="auto"/>
          <w:highlight w:val="none"/>
          <w:u w:val="none"/>
          <w:lang w:val="en-US" w:eastAsia="zh-CN"/>
        </w:rPr>
        <w:t>根据《中国南方电网有限责任公司电力建设定额站转发电力工程造价与定额管理总站关于调整安全文明施工费的通知》（南方电网定额〔2023〕3号）调整。</w:t>
      </w:r>
    </w:p>
    <w:p w14:paraId="3C3F42E2">
      <w:pPr>
        <w:pStyle w:val="11"/>
        <w:shd w:val="clear" w:color="auto" w:fill="auto"/>
        <w:spacing w:after="0"/>
        <w:ind w:left="0" w:leftChars="0" w:firstLine="420" w:firstLineChars="200"/>
        <w:rPr>
          <w:rFonts w:hint="eastAsia" w:ascii="宋体"/>
          <w:b w:val="0"/>
          <w:bCs/>
          <w:color w:val="auto"/>
          <w:highlight w:val="none"/>
          <w:u w:val="none"/>
          <w:lang w:val="en-US" w:eastAsia="zh-CN"/>
        </w:rPr>
      </w:pPr>
      <w:r>
        <w:rPr>
          <w:rFonts w:hint="eastAsia" w:ascii="宋体"/>
          <w:b w:val="0"/>
          <w:bCs/>
          <w:color w:val="auto"/>
          <w:highlight w:val="none"/>
          <w:u w:val="none"/>
          <w:lang w:val="en-US" w:eastAsia="zh-CN"/>
        </w:rPr>
        <w:t>安全文明施工费的使用执行《关于印发基建项目安全文明施工费使用工作指引（试行）的通知》（广电办建〔2022〕28号）规定。支付方式如下：</w:t>
      </w:r>
    </w:p>
    <w:p w14:paraId="24D3EF62">
      <w:pPr>
        <w:pStyle w:val="11"/>
        <w:shd w:val="clear" w:color="auto" w:fill="auto"/>
        <w:spacing w:after="0"/>
        <w:ind w:left="0" w:leftChars="0" w:firstLine="420" w:firstLineChars="200"/>
        <w:rPr>
          <w:rFonts w:hint="eastAsia"/>
          <w:color w:val="auto"/>
          <w:highlight w:val="none"/>
          <w:lang w:val="en-US" w:eastAsia="zh-CN"/>
        </w:rPr>
      </w:pPr>
      <w:r>
        <w:rPr>
          <w:rFonts w:hint="eastAsia" w:ascii="宋体"/>
          <w:b w:val="0"/>
          <w:bCs/>
          <w:color w:val="auto"/>
          <w:highlight w:val="none"/>
          <w:lang w:val="en-US" w:eastAsia="zh-CN"/>
        </w:rPr>
        <w:t>（1）完成开工准备后，随预付款同步支付60%安全文明施工费，即预付款=（合同价-安全文明施工费）*预付款比例+60%*安全文明施工费，预付款扣回时不包含已支付的60%的安全文明施工费；也可预付款和安全文明施工费分别申请，建设单位应在开工后28天完成</w:t>
      </w:r>
      <w:r>
        <w:rPr>
          <w:rFonts w:hint="eastAsia"/>
          <w:color w:val="auto"/>
          <w:highlight w:val="none"/>
          <w:lang w:val="en-US" w:eastAsia="zh-CN"/>
        </w:rPr>
        <w:t>60%安全文明施工费的支付。</w:t>
      </w:r>
    </w:p>
    <w:p w14:paraId="2DCA17F1">
      <w:pPr>
        <w:spacing w:line="360" w:lineRule="auto"/>
        <w:ind w:firstLine="420" w:firstLineChars="200"/>
        <w:rPr>
          <w:rFonts w:hint="default"/>
          <w:color w:val="auto"/>
          <w:highlight w:val="none"/>
          <w:lang w:val="en-US" w:eastAsia="zh-CN"/>
        </w:rPr>
      </w:pPr>
      <w:r>
        <w:rPr>
          <w:rFonts w:hint="eastAsia"/>
          <w:color w:val="auto"/>
          <w:highlight w:val="none"/>
          <w:lang w:val="en-US" w:eastAsia="zh-CN"/>
        </w:rPr>
        <w:t>（2）工程施工过程中，承包人根据项目实际进度完成现场安全文明施工设施安装后，报审《安全文明施工设施验收表》，经施工项目经理签字确认后，报监理项目部审核验收，由项目总监理工程师签字确认，报业主项目部审批。</w:t>
      </w:r>
    </w:p>
    <w:p w14:paraId="52DE7DF1">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施工进度款与安全文明施工费分开申请，安全文明施工费按“安全文明施工费使用情况报审表”上审核费用支付，申请安全文明施工费进度款时，当审批后安全文明施工投入金额超60%后，按进度支付超出部分费用，原则上累计支付不得超合同中安全文明施工费限额，达到100%时止付。由于重大设计变更需调整安全文明施工费的，可按设计变更预算中的安全文明施工费先行支付，竣工结算时由造价咨询单位按合同约定重新核定费用。</w:t>
      </w:r>
    </w:p>
    <w:p w14:paraId="3A2E589B">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3）项目竣工投产后，造价咨询单位依据合同、设计变更、承包商扣分等开展安全文明施工费结算，在最后一笔工程结算款结清安全文明施工费，项目质保金计费基数不含安全文明施工费。造价咨询单位按建设单位、监理单位审核的施工过程“安全文明施工费使用情况报审表”，核定安全文明施工费结算价，核定安全文明施工费小于合同价中安全文明施工费的，按核定费用结算，原则上不超按合同结算价计算的安全文明施工费限额。建设单位依据《南方电网公司基建承包商违章处罚通知单》，提供该项目施工总承包单位及分包单位在安全文明施工方面的扣分处罚明细，造价咨询单位以罚单所对应标段施工合同价为基数扣减施工费，按照每扣0.1分，处以合同价万分之一的经济处罚，即施工费结算扣减金额=合同价*0.1‰*安全文明施工扣罚分数/0.1。</w:t>
      </w:r>
    </w:p>
    <w:p w14:paraId="0BAEE174">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（4）承包人应根据国家及网公司法律法规和相关规定，正确使用安全文明施工费、落实保障安全的各项措施，并接受监理及业主项目部的监督、审核及检查。</w:t>
      </w:r>
    </w:p>
    <w:p w14:paraId="5B3C8A7F">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5）承包人应健全安全文明施工费管理制度和核算制度，不得挤占或挪用安全文明施工费，明确安全生产费用使用、管理的程序、职责及权限。接受建设单位、监理单位对安全文明施工费使用的监督管理，按公司管理要求开展现场安全文明施工布置，确保安全文明施工费用专款专用。</w:t>
      </w:r>
    </w:p>
    <w:p w14:paraId="6F7CCDBA">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6）承包人如未及时落实保障安全的各项措施、未按规定正确使用安全文明施工费时，监理单位或业主项目部有权责令承包人整改、未按期限要求完成整改的，必要时责令暂停施工，至整改完成为止。对于安全文明设施存在问题而承包人拒不整改的，建设单位可安排其它单位对该单位安全文明施工工作进行完善，期间所发生的一切责任或费用由承包人承担。</w:t>
      </w:r>
    </w:p>
    <w:p w14:paraId="733D227C">
      <w:pPr>
        <w:pStyle w:val="11"/>
        <w:shd w:val="clear" w:color="auto" w:fill="auto"/>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lang w:val="en-US" w:eastAsia="zh-CN"/>
        </w:rPr>
        <w:t>5、农民工工资专项费用的支付</w:t>
      </w:r>
    </w:p>
    <w:p w14:paraId="7D210317">
      <w:pPr>
        <w:shd w:val="clear" w:color="auto" w:fill="auto"/>
        <w:spacing w:line="360" w:lineRule="auto"/>
        <w:ind w:firstLine="420" w:firstLineChars="200"/>
        <w:rPr>
          <w:rFonts w:hint="eastAsia"/>
          <w:color w:val="auto"/>
          <w:highlight w:val="none"/>
          <w:lang w:val="en-US" w:eastAsia="zh-CN"/>
        </w:rPr>
      </w:pPr>
      <w:r>
        <w:rPr>
          <w:rFonts w:hint="eastAsia" w:ascii="宋体"/>
          <w:b w:val="0"/>
          <w:bCs/>
          <w:color w:val="auto"/>
          <w:highlight w:val="none"/>
          <w:lang w:val="en-US" w:eastAsia="zh-CN"/>
        </w:rPr>
        <w:t>正式合同价确定后，在补充协议中明确</w:t>
      </w:r>
      <w:r>
        <w:rPr>
          <w:rFonts w:hint="eastAsia"/>
          <w:color w:val="auto"/>
          <w:highlight w:val="none"/>
        </w:rPr>
        <w:t>农民工工资总额</w:t>
      </w:r>
      <w:r>
        <w:rPr>
          <w:rFonts w:hint="eastAsia"/>
          <w:color w:val="auto"/>
          <w:highlight w:val="none"/>
          <w:lang w:val="en-US" w:eastAsia="zh-CN"/>
        </w:rPr>
        <w:t>和</w:t>
      </w:r>
      <w:r>
        <w:rPr>
          <w:rFonts w:hint="eastAsia"/>
          <w:color w:val="auto"/>
          <w:highlight w:val="none"/>
        </w:rPr>
        <w:t>占合同总额比例</w:t>
      </w:r>
      <w:r>
        <w:rPr>
          <w:rFonts w:hint="eastAsia"/>
          <w:color w:val="auto"/>
          <w:highlight w:val="none"/>
          <w:lang w:val="en-US" w:eastAsia="zh-CN"/>
        </w:rPr>
        <w:t>。</w:t>
      </w:r>
    </w:p>
    <w:p w14:paraId="5D318D2D">
      <w:pPr>
        <w:shd w:val="clear" w:color="auto" w:fill="auto"/>
        <w:spacing w:line="360" w:lineRule="auto"/>
        <w:ind w:firstLine="420" w:firstLineChars="200"/>
        <w:rPr>
          <w:rFonts w:hint="eastAsia"/>
          <w:color w:val="auto"/>
          <w:highlight w:val="none"/>
          <w:lang w:val="en-US" w:eastAsia="zh-CN"/>
        </w:rPr>
      </w:pPr>
      <w:r>
        <w:rPr>
          <w:rFonts w:hint="eastAsia"/>
          <w:color w:val="auto"/>
          <w:highlight w:val="none"/>
          <w:lang w:val="en-US" w:eastAsia="zh-CN"/>
        </w:rPr>
        <w:t>农民工工资专项费用严格按照《保障农民工工资支付条例》（中华人民共和国国务院令 第724号）及相关法律法规执行。承包人应按规定开设农民工工资专用账户，专项用于支付本工程农民工工资。在合同履行期间，如国家有最新文件的，按最新文件要求执行。</w:t>
      </w:r>
    </w:p>
    <w:p w14:paraId="3884ACAF">
      <w:pPr>
        <w:shd w:val="clear" w:color="auto" w:fill="auto"/>
        <w:spacing w:line="360" w:lineRule="auto"/>
        <w:ind w:firstLine="420" w:firstLineChars="200"/>
        <w:rPr>
          <w:rFonts w:hint="eastAsia"/>
          <w:color w:val="auto"/>
          <w:highlight w:val="none"/>
          <w:lang w:val="en-US" w:eastAsia="zh-CN"/>
        </w:rPr>
      </w:pPr>
      <w:r>
        <w:rPr>
          <w:rFonts w:hint="eastAsia"/>
          <w:color w:val="auto"/>
          <w:highlight w:val="none"/>
          <w:lang w:val="en-US" w:eastAsia="zh-CN"/>
        </w:rPr>
        <w:t>支付方式如下：</w:t>
      </w:r>
    </w:p>
    <w:p w14:paraId="6A4FCFDF">
      <w:pPr>
        <w:shd w:val="clear" w:color="auto" w:fill="auto"/>
        <w:spacing w:line="360" w:lineRule="auto"/>
        <w:ind w:firstLine="420" w:firstLineChars="200"/>
        <w:rPr>
          <w:rFonts w:hint="default"/>
          <w:color w:val="auto"/>
          <w:highlight w:val="none"/>
          <w:lang w:val="en-US" w:eastAsia="zh-CN"/>
        </w:rPr>
      </w:pPr>
      <w:r>
        <w:rPr>
          <w:rFonts w:hint="eastAsia"/>
          <w:color w:val="auto"/>
          <w:highlight w:val="none"/>
          <w:lang w:val="en-US" w:eastAsia="zh-CN"/>
        </w:rPr>
        <w:t>农民工工资专项费用根据比例按月度支付，具体金额以业主项目部审核为准。经确认的农民工工资款单独划入本工程“农民工工资专用账户”中，除发放本工程农民工工资外，不得用于其他用途。因工程变更引起的工程量增加，新增工程量中的农民工工资比例原则上按合同协议书中约定的原比例执行。</w:t>
      </w:r>
    </w:p>
    <w:p w14:paraId="0B803995">
      <w:pPr>
        <w:pStyle w:val="5"/>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14.1</w:t>
      </w:r>
      <w:r>
        <w:rPr>
          <w:rFonts w:ascii="宋体" w:hAnsi="宋体"/>
          <w:color w:val="auto"/>
          <w:szCs w:val="21"/>
          <w:highlight w:val="none"/>
        </w:rPr>
        <w:t>1</w:t>
      </w:r>
      <w:r>
        <w:rPr>
          <w:rFonts w:hint="eastAsia" w:ascii="宋体" w:hAnsi="宋体"/>
          <w:color w:val="auto"/>
          <w:szCs w:val="21"/>
          <w:highlight w:val="none"/>
        </w:rPr>
        <w:t>申请最终</w:t>
      </w:r>
      <w:r>
        <w:rPr>
          <w:rFonts w:ascii="宋体" w:hAnsi="宋体"/>
          <w:color w:val="auto"/>
          <w:szCs w:val="21"/>
          <w:highlight w:val="none"/>
        </w:rPr>
        <w:t>支付证书</w:t>
      </w:r>
    </w:p>
    <w:p w14:paraId="182AF082">
      <w:pPr>
        <w:pStyle w:val="11"/>
        <w:spacing w:after="0"/>
        <w:ind w:left="0" w:leftChars="0" w:firstLine="422" w:firstLineChars="200"/>
        <w:rPr>
          <w:rFonts w:hint="eastAsia" w:ascii="宋体"/>
          <w:color w:val="auto"/>
          <w:highlight w:val="none"/>
        </w:rPr>
      </w:pPr>
      <w:r>
        <w:rPr>
          <w:rFonts w:hint="default" w:ascii="宋体"/>
          <w:color w:val="auto"/>
          <w:highlight w:val="none"/>
          <w:lang w:val="en-US"/>
        </w:rPr>
        <w:t>替换</w:t>
      </w:r>
      <w:r>
        <w:rPr>
          <w:rFonts w:hint="eastAsia" w:ascii="宋体"/>
          <w:color w:val="auto"/>
          <w:highlight w:val="none"/>
        </w:rPr>
        <w:t>以下内容到第14.11款：</w:t>
      </w:r>
    </w:p>
    <w:p w14:paraId="3D9AACF2">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工程启动投产后</w:t>
      </w:r>
      <w:r>
        <w:rPr>
          <w:rFonts w:hint="eastAsia" w:ascii="宋体"/>
          <w:b w:val="0"/>
          <w:bCs/>
          <w:color w:val="auto"/>
          <w:highlight w:val="none"/>
          <w:u w:val="single"/>
        </w:rPr>
        <w:t xml:space="preserve"> </w:t>
      </w:r>
      <w:r>
        <w:rPr>
          <w:rFonts w:hint="eastAsia" w:ascii="宋体"/>
          <w:b w:val="0"/>
          <w:bCs/>
          <w:color w:val="auto"/>
          <w:highlight w:val="none"/>
          <w:u w:val="single"/>
          <w:lang w:val="en-US" w:eastAsia="zh-CN"/>
        </w:rPr>
        <w:t xml:space="preserve"> 30</w:t>
      </w:r>
      <w:r>
        <w:rPr>
          <w:rFonts w:hint="eastAsia" w:ascii="宋体"/>
          <w:b w:val="0"/>
          <w:bCs/>
          <w:color w:val="auto"/>
          <w:highlight w:val="none"/>
          <w:u w:val="single"/>
        </w:rPr>
        <w:t xml:space="preserve"> </w:t>
      </w:r>
      <w:r>
        <w:rPr>
          <w:rFonts w:hint="eastAsia" w:ascii="宋体"/>
          <w:b w:val="0"/>
          <w:bCs/>
          <w:color w:val="auto"/>
          <w:highlight w:val="none"/>
        </w:rPr>
        <w:t>日内，承包人须提交工程结算书及完整相关结算依据资料报监理公司、发包人审核。</w:t>
      </w:r>
    </w:p>
    <w:p w14:paraId="61C8FCE4">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1、承包人超过规定时间未报送竣工结算资料（或未完整报送竣工结算资料）的，发包人有权根据下述原则办理结算：</w:t>
      </w:r>
    </w:p>
    <w:p w14:paraId="38AE6335">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（1）按</w:t>
      </w:r>
      <w:r>
        <w:rPr>
          <w:rFonts w:hint="eastAsia" w:ascii="宋体"/>
          <w:b w:val="0"/>
          <w:bCs/>
          <w:color w:val="auto"/>
          <w:highlight w:val="none"/>
          <w:lang w:eastAsia="zh-CN"/>
        </w:rPr>
        <w:t>正式合同</w:t>
      </w:r>
      <w:r>
        <w:rPr>
          <w:rFonts w:hint="eastAsia" w:ascii="宋体"/>
          <w:b w:val="0"/>
          <w:bCs/>
          <w:color w:val="auto"/>
          <w:highlight w:val="none"/>
        </w:rPr>
        <w:t>价办理结算；</w:t>
      </w:r>
    </w:p>
    <w:p w14:paraId="682F57B4">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4）承包人如未在上述规定时间内提供完整的工程竣工结算资料，经发包人书面催促后14天内仍未提供或没有明确答复的，发包人有权单方委托造价审核单位按已有资料依照结算原则进行审定，责任由承包人自负。</w:t>
      </w:r>
    </w:p>
    <w:p w14:paraId="05EA3FB1">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3、结算费用经发包人委托的中介机构审定，造价咨询服务基本收费部分由发包人支付，效益收费部分由承包人支付的方式，效益收费部分由</w:t>
      </w:r>
      <w:r>
        <w:rPr>
          <w:rFonts w:hint="eastAsia" w:ascii="宋体"/>
          <w:b w:val="0"/>
          <w:bCs/>
          <w:color w:val="auto"/>
          <w:highlight w:val="none"/>
          <w:lang w:val="en-US" w:eastAsia="zh-CN"/>
        </w:rPr>
        <w:t>承包人</w:t>
      </w:r>
      <w:r>
        <w:rPr>
          <w:rFonts w:hint="eastAsia" w:ascii="宋体"/>
          <w:b w:val="0"/>
          <w:bCs/>
          <w:color w:val="auto"/>
          <w:highlight w:val="none"/>
        </w:rPr>
        <w:t>支付给中介机构。</w:t>
      </w:r>
    </w:p>
    <w:p w14:paraId="405A4F8C">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4、承包人由于自身的原因未能及时、准确、完整地在工程管理系统中录入数据并经书面警告的，工程竣工结算时，最高扣减结算价款10万元。</w:t>
      </w:r>
      <w:r>
        <w:rPr>
          <w:rFonts w:hint="eastAsia" w:ascii="宋体" w:cs="Times New Roman"/>
          <w:b w:val="0"/>
          <w:bCs/>
          <w:color w:val="auto"/>
          <w:highlight w:val="none"/>
          <w:shd w:val="clear" w:color="auto" w:fill="auto"/>
          <w:lang w:val="en-US" w:eastAsia="zh-CN"/>
        </w:rPr>
        <w:t>（或承包商违章处罚扣0.2-1分）</w:t>
      </w:r>
    </w:p>
    <w:p w14:paraId="775115EC">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6、承包人应做好职责范围内基建项目归档文件的收集、整理及归档工作，并以签署完毕的《基建项目档案移交表》和《基建项目档案移交清册》为依据对承包人进行考核，如未在规定时间内移交或应归档文件材料不真实、不齐全、不完整或整理不规范的，可根据情节严重程度，最多可扣罚承包人合同总额的1%。</w:t>
      </w:r>
      <w:r>
        <w:rPr>
          <w:rFonts w:hint="eastAsia" w:ascii="宋体" w:cs="Times New Roman"/>
          <w:b w:val="0"/>
          <w:bCs/>
          <w:color w:val="auto"/>
          <w:highlight w:val="none"/>
          <w:shd w:val="clear" w:color="auto" w:fill="auto"/>
          <w:lang w:val="en-US" w:eastAsia="zh-CN"/>
        </w:rPr>
        <w:t>（或承包商违章处罚扣0.2-1分）</w:t>
      </w:r>
    </w:p>
    <w:p w14:paraId="66045BB8">
      <w:pPr>
        <w:pStyle w:val="11"/>
        <w:spacing w:after="0"/>
        <w:ind w:left="0" w:leftChars="0" w:firstLine="420" w:firstLineChars="200"/>
        <w:rPr>
          <w:rFonts w:hint="eastAsia" w:ascii="宋体" w:eastAsia="宋体"/>
          <w:b w:val="0"/>
          <w:bCs/>
          <w:color w:val="auto"/>
          <w:highlight w:val="none"/>
          <w:lang w:val="en-US" w:eastAsia="zh-CN"/>
        </w:rPr>
      </w:pPr>
      <w:r>
        <w:rPr>
          <w:rFonts w:hint="eastAsia" w:ascii="宋体"/>
          <w:b w:val="0"/>
          <w:bCs/>
          <w:color w:val="auto"/>
          <w:highlight w:val="none"/>
          <w:lang w:val="en-US" w:eastAsia="zh-CN"/>
        </w:rPr>
        <w:t>7、发包人依据本项目施工总承包单位及分包单位在安全文明施工方面的扣分处罚明细，以施工合同价为基数扣减施工费，按照每扣0.1分，处以合同价万分之一的经济处罚，即施工费结算扣减金额=合同价*0.1‰*安全文明施工扣罚分数/0.1。</w:t>
      </w:r>
    </w:p>
    <w:p w14:paraId="1F731D25">
      <w:pPr>
        <w:pStyle w:val="5"/>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 xml:space="preserve">14.12 </w:t>
      </w:r>
      <w:r>
        <w:rPr>
          <w:rFonts w:hint="eastAsia" w:ascii="宋体" w:hAnsi="宋体"/>
          <w:color w:val="auto"/>
          <w:szCs w:val="21"/>
          <w:highlight w:val="none"/>
        </w:rPr>
        <w:tab/>
      </w:r>
      <w:r>
        <w:rPr>
          <w:rFonts w:hint="eastAsia" w:ascii="宋体" w:hAnsi="宋体"/>
          <w:color w:val="auto"/>
          <w:szCs w:val="21"/>
          <w:highlight w:val="none"/>
        </w:rPr>
        <w:t>结清单</w:t>
      </w:r>
    </w:p>
    <w:p w14:paraId="172466F4">
      <w:pPr>
        <w:pStyle w:val="11"/>
        <w:spacing w:after="0"/>
        <w:ind w:left="0" w:leftChars="0" w:firstLine="422" w:firstLineChars="200"/>
        <w:rPr>
          <w:rFonts w:hint="eastAsia" w:ascii="宋体"/>
          <w:color w:val="auto"/>
          <w:highlight w:val="none"/>
        </w:rPr>
      </w:pPr>
      <w:r>
        <w:rPr>
          <w:rFonts w:hint="eastAsia" w:ascii="宋体"/>
          <w:color w:val="auto"/>
          <w:highlight w:val="none"/>
        </w:rPr>
        <w:t>增加以下内容到14.12款：</w:t>
      </w:r>
    </w:p>
    <w:p w14:paraId="5E5A0D66">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承包人负责在工程竣工投产后7天内，上报结算资料；参与总结算报告的编制工作。</w:t>
      </w:r>
    </w:p>
    <w:p w14:paraId="0405AE93">
      <w:pPr>
        <w:pStyle w:val="5"/>
        <w:spacing w:after="0"/>
        <w:ind w:left="0" w:leftChars="0" w:firstLine="420" w:firstLineChars="200"/>
        <w:outlineLvl w:val="3"/>
        <w:rPr>
          <w:rFonts w:hint="default" w:ascii="宋体" w:hAnsi="宋体" w:eastAsia="宋体"/>
          <w:color w:val="auto"/>
          <w:szCs w:val="21"/>
          <w:highlight w:val="none"/>
          <w:lang w:val="en-US" w:eastAsia="zh-CN"/>
        </w:rPr>
      </w:pPr>
      <w:r>
        <w:rPr>
          <w:rFonts w:hint="eastAsia" w:ascii="宋体" w:hAnsi="宋体"/>
          <w:color w:val="auto"/>
          <w:szCs w:val="21"/>
          <w:highlight w:val="none"/>
        </w:rPr>
        <w:t xml:space="preserve">20.6  </w:t>
      </w:r>
      <w:r>
        <w:rPr>
          <w:rFonts w:hint="eastAsia" w:ascii="宋体" w:hAnsi="宋体"/>
          <w:color w:val="auto"/>
          <w:szCs w:val="21"/>
          <w:highlight w:val="none"/>
          <w:lang w:val="en-US" w:eastAsia="zh-CN"/>
        </w:rPr>
        <w:t>争议解决</w:t>
      </w:r>
    </w:p>
    <w:p w14:paraId="08EC030D">
      <w:pPr>
        <w:pStyle w:val="5"/>
        <w:spacing w:after="0" w:line="360" w:lineRule="auto"/>
        <w:ind w:left="0" w:leftChars="0" w:firstLine="422" w:firstLineChars="200"/>
        <w:rPr>
          <w:rFonts w:hint="eastAsia" w:ascii="宋体" w:hAnsi="宋体"/>
          <w:b/>
          <w:bCs/>
          <w:color w:val="auto"/>
          <w:szCs w:val="21"/>
          <w:highlight w:val="none"/>
        </w:rPr>
      </w:pPr>
      <w:r>
        <w:rPr>
          <w:rFonts w:hint="eastAsia" w:ascii="宋体" w:hAnsi="宋体"/>
          <w:b/>
          <w:bCs/>
          <w:color w:val="auto"/>
          <w:szCs w:val="21"/>
          <w:highlight w:val="none"/>
          <w:lang w:eastAsia="zh-CN"/>
        </w:rPr>
        <w:t>替换</w:t>
      </w:r>
      <w:r>
        <w:rPr>
          <w:rFonts w:hint="eastAsia" w:ascii="宋体" w:hAnsi="宋体"/>
          <w:b/>
          <w:bCs/>
          <w:color w:val="auto"/>
          <w:szCs w:val="21"/>
          <w:highlight w:val="none"/>
        </w:rPr>
        <w:t>以下内容到第20.6款：</w:t>
      </w:r>
    </w:p>
    <w:p w14:paraId="032A166C">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 xml:space="preserve">在无法执行第20.5条[友好解决]的情况下，因合同及合同有关事项发生的争议，按下列第（ </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）种方式解决：</w:t>
      </w:r>
    </w:p>
    <w:p w14:paraId="02362718">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（1）向</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工程所在地   </w:t>
      </w:r>
      <w:r>
        <w:rPr>
          <w:rFonts w:hint="eastAsia" w:ascii="宋体" w:hAnsi="宋体"/>
          <w:color w:val="auto"/>
          <w:szCs w:val="21"/>
          <w:highlight w:val="none"/>
          <w:u w:val="single"/>
        </w:rPr>
        <w:t xml:space="preserve">          </w:t>
      </w:r>
      <w:r>
        <w:rPr>
          <w:rFonts w:hint="eastAsia" w:ascii="宋体" w:hAnsi="宋体"/>
          <w:color w:val="auto"/>
          <w:szCs w:val="21"/>
          <w:highlight w:val="none"/>
        </w:rPr>
        <w:t>仲裁委员会申请仲裁；按照申请仲裁时该会现行有效的仲裁规则进行仲裁。仲裁裁决是终局，对双方均有约束力。仲裁费用由败诉方承担。</w:t>
      </w:r>
    </w:p>
    <w:p w14:paraId="60AC13D9">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（2）向</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工程所在地</w:t>
      </w:r>
      <w:r>
        <w:rPr>
          <w:rFonts w:hint="eastAsia" w:ascii="宋体" w:hAnsi="宋体"/>
          <w:color w:val="auto"/>
          <w:szCs w:val="21"/>
          <w:highlight w:val="none"/>
          <w:u w:val="single"/>
        </w:rPr>
        <w:t xml:space="preserve">        </w:t>
      </w:r>
      <w:r>
        <w:rPr>
          <w:rFonts w:hint="eastAsia" w:ascii="宋体" w:hAnsi="宋体"/>
          <w:color w:val="auto"/>
          <w:szCs w:val="21"/>
          <w:highlight w:val="none"/>
        </w:rPr>
        <w:t>人民法院起诉。</w:t>
      </w:r>
    </w:p>
    <w:p w14:paraId="58F5F5C3">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在仲裁或诉讼期间，本合同不涉及争议部分的条款仍须履行。</w:t>
      </w:r>
    </w:p>
    <w:p w14:paraId="7571F7B3">
      <w:pPr>
        <w:pStyle w:val="11"/>
        <w:spacing w:after="0" w:line="240" w:lineRule="auto"/>
        <w:ind w:left="0" w:leftChars="0" w:firstLine="420" w:firstLineChars="200"/>
        <w:outlineLvl w:val="9"/>
        <w:rPr>
          <w:rFonts w:hint="eastAsia" w:ascii="宋体"/>
          <w:b w:val="0"/>
          <w:bCs/>
          <w:color w:val="auto"/>
          <w:highlight w:val="none"/>
          <w:shd w:val="clear" w:color="auto" w:fill="auto"/>
        </w:rPr>
      </w:pPr>
      <w:r>
        <w:rPr>
          <w:rFonts w:hint="eastAsia" w:ascii="宋体"/>
          <w:b w:val="0"/>
          <w:bCs/>
          <w:color w:val="auto"/>
          <w:highlight w:val="none"/>
          <w:shd w:val="clear" w:color="auto" w:fill="auto"/>
        </w:rPr>
        <w:t>21.</w:t>
      </w:r>
      <w:r>
        <w:rPr>
          <w:rFonts w:hint="eastAsia" w:ascii="宋体"/>
          <w:b w:val="0"/>
          <w:bCs/>
          <w:color w:val="auto"/>
          <w:highlight w:val="none"/>
          <w:shd w:val="clear" w:color="auto" w:fill="auto"/>
        </w:rPr>
        <w:tab/>
      </w:r>
      <w:r>
        <w:rPr>
          <w:rFonts w:hint="eastAsia" w:ascii="宋体"/>
          <w:b w:val="0"/>
          <w:bCs/>
          <w:color w:val="auto"/>
          <w:highlight w:val="none"/>
          <w:shd w:val="clear" w:color="auto" w:fill="auto"/>
        </w:rPr>
        <w:t>其他</w:t>
      </w:r>
    </w:p>
    <w:p w14:paraId="0434286E">
      <w:pPr>
        <w:pStyle w:val="11"/>
        <w:spacing w:after="0"/>
        <w:ind w:left="0" w:leftChars="0" w:firstLine="422" w:firstLineChars="200"/>
        <w:rPr>
          <w:rFonts w:hint="eastAsia" w:ascii="宋体"/>
          <w:color w:val="auto"/>
          <w:highlight w:val="none"/>
        </w:rPr>
      </w:pPr>
      <w:r>
        <w:rPr>
          <w:rFonts w:hint="eastAsia" w:ascii="宋体"/>
          <w:color w:val="auto"/>
          <w:highlight w:val="none"/>
        </w:rPr>
        <w:t>增加以下内容到</w:t>
      </w:r>
      <w:r>
        <w:rPr>
          <w:rFonts w:hint="eastAsia" w:ascii="宋体"/>
          <w:color w:val="auto"/>
          <w:highlight w:val="none"/>
          <w:lang w:val="en-US" w:eastAsia="zh-CN"/>
        </w:rPr>
        <w:t>21</w:t>
      </w:r>
      <w:r>
        <w:rPr>
          <w:rFonts w:hint="eastAsia" w:ascii="宋体"/>
          <w:color w:val="auto"/>
          <w:highlight w:val="none"/>
        </w:rPr>
        <w:t>款：</w:t>
      </w:r>
    </w:p>
    <w:p w14:paraId="1E96E8CE">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val="en-US" w:eastAsia="zh-CN"/>
        </w:rPr>
        <w:t>1、</w:t>
      </w:r>
      <w:r>
        <w:rPr>
          <w:rFonts w:hint="eastAsia" w:ascii="宋体" w:hAnsi="宋体"/>
          <w:color w:val="auto"/>
          <w:szCs w:val="21"/>
          <w:highlight w:val="none"/>
          <w:shd w:val="clear" w:color="auto" w:fill="auto"/>
          <w:lang w:eastAsia="zh-CN"/>
        </w:rPr>
        <w:t>严格执行《保障中小企业款项支付条例》（中华人民共和国国务院令 第728号）相关要求，确保款项支付依法合规。</w:t>
      </w:r>
    </w:p>
    <w:p w14:paraId="3E5907B9">
      <w:pPr>
        <w:pStyle w:val="5"/>
        <w:shd w:val="clear" w:color="auto" w:fill="auto"/>
        <w:spacing w:after="0" w:line="360" w:lineRule="auto"/>
        <w:ind w:left="0" w:leftChars="0" w:firstLine="420" w:firstLineChars="200"/>
        <w:rPr>
          <w:rFonts w:hint="default" w:ascii="宋体" w:hAnsi="宋体"/>
          <w:color w:val="auto"/>
          <w:szCs w:val="21"/>
          <w:highlight w:val="none"/>
          <w:shd w:val="clear" w:color="auto" w:fill="auto"/>
          <w:lang w:val="en-US" w:eastAsia="zh-CN"/>
        </w:rPr>
      </w:pPr>
      <w:r>
        <w:rPr>
          <w:rFonts w:hint="eastAsia" w:ascii="宋体" w:hAnsi="宋体"/>
          <w:color w:val="auto"/>
          <w:szCs w:val="21"/>
          <w:highlight w:val="none"/>
          <w:shd w:val="clear" w:color="auto" w:fill="auto"/>
          <w:lang w:val="en-US" w:eastAsia="zh-CN"/>
        </w:rPr>
        <w:t>2、建设单位对出现未提供作业现场视频或弄虚作假、故意逃避视频监督等严禁和违章类问题的承包商，有权依据《广东电网有限责任公司作业现场智慧安全监督办法》对其进行处罚；对出现作业信息填报不正确、不规范等规范类问题的承包商，有权依据《中国南方电网有限责任公司基建项目承包商管理业务指导书》等相关承包商管理制度对其进行扣分处罚。</w:t>
      </w:r>
    </w:p>
    <w:p w14:paraId="11FD66F9">
      <w:pPr>
        <w:pStyle w:val="5"/>
        <w:shd w:val="clear" w:color="auto" w:fill="auto"/>
        <w:spacing w:after="0" w:line="360" w:lineRule="auto"/>
        <w:ind w:left="0" w:leftChars="0" w:firstLine="420" w:firstLineChars="200"/>
        <w:rPr>
          <w:rFonts w:hint="default" w:ascii="宋体" w:hAnsi="宋体"/>
          <w:color w:val="auto"/>
          <w:szCs w:val="21"/>
          <w:highlight w:val="none"/>
          <w:shd w:val="clear" w:color="auto" w:fill="auto"/>
          <w:lang w:val="en-US" w:eastAsia="zh-CN"/>
        </w:rPr>
      </w:pPr>
      <w:r>
        <w:rPr>
          <w:rFonts w:hint="eastAsia" w:ascii="宋体" w:hAnsi="宋体"/>
          <w:color w:val="auto"/>
          <w:szCs w:val="21"/>
          <w:highlight w:val="none"/>
          <w:shd w:val="clear" w:color="auto" w:fill="auto"/>
          <w:lang w:val="en-US" w:eastAsia="zh-CN"/>
        </w:rPr>
        <w:t>3、严格执行《广东电网公司基建工程施工领域总包代付分包工人工资方案》中关于专用账户管理、人工费用拨付要求、用工管理、工资支付管理等各项相关管理要求。</w:t>
      </w:r>
    </w:p>
    <w:p w14:paraId="5AE0F8CD">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4、如工程实施过程中出现舆情事件的，不管实际责任人是否为承包人，或其分包商及其他相关参建方，均由承包人主导协调解决。如舆情事件是因承包人管理不善（包括但不限于违法分包、转包等）造成的，发包人可根据相关扣罚条例对承包人处以扣罚。</w:t>
      </w:r>
    </w:p>
    <w:p w14:paraId="422F702C">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5、工程实施过程的核心管理团队应与承包人在投标文件中的人员保持一致，项目经理（现场负责人）、项目总工（技术负责人、技术员）、安全员等核心管理人员原则上不得更换，如需更换核心管理人员，需书面向业主项目部申请，经监理审核、业主项目部审批同意后方可更换。且更换后的核心管理团队能力评价不低于原投标文件人员水平。</w:t>
      </w:r>
    </w:p>
    <w:p w14:paraId="00CCBC56">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6、承包人更换核心管理团队对工程造成影响的将进行承包商扣分、经济扣罚等处罚，其中更换1名项目经理（现场负责人）罚20万、更换1名项目总工（技术负责人、技术员）或安全员的罚10万。罚款豁免条件：实施周期超过2年或工程停滞超过1年的项目可由项目部批准更换1次。（合同通用条款与专用条款已有具体处罚条款的，以本条为准。）</w:t>
      </w:r>
    </w:p>
    <w:p w14:paraId="5E13A619">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7、工程需要专业分包的，承包人（总包单位）的专业分包合同应明确分包商主要管理人员、特种作业人员持证情况和人力等资源投入明细，并与现场实际相符。分包合同应报建设单位进行备案。</w:t>
      </w:r>
    </w:p>
    <w:p w14:paraId="063CD9F6">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8、专业分包管理团队人员应与备案的分包合同中的保持一致，若需要更换专业分包管理团队人员的，必须履行审批手续，经监理审核、业主项目部审批同意后方可更换。</w:t>
      </w:r>
    </w:p>
    <w:p w14:paraId="47A13616">
      <w:pPr>
        <w:pStyle w:val="5"/>
        <w:shd w:val="clear" w:color="auto" w:fill="auto"/>
        <w:spacing w:after="0" w:line="360" w:lineRule="auto"/>
        <w:ind w:left="0" w:leftChars="0" w:firstLine="420" w:firstLineChars="200"/>
        <w:rPr>
          <w:rFonts w:hint="default" w:ascii="宋体" w:hAnsi="宋体"/>
          <w:color w:val="auto"/>
          <w:szCs w:val="21"/>
          <w:highlight w:val="none"/>
          <w:shd w:val="clear" w:color="auto" w:fill="auto"/>
          <w:lang w:val="en-US" w:eastAsia="zh-CN"/>
        </w:rPr>
      </w:pPr>
      <w:r>
        <w:rPr>
          <w:rFonts w:hint="eastAsia" w:ascii="宋体" w:hAnsi="宋体"/>
          <w:color w:val="auto"/>
          <w:szCs w:val="21"/>
          <w:highlight w:val="none"/>
          <w:shd w:val="clear" w:color="auto" w:fill="auto"/>
          <w:lang w:val="en-US" w:eastAsia="zh-CN"/>
        </w:rPr>
        <w:t>9、根据广州市交通运输局《关于商请进一步做好所属占道施工项目精细化管理的函》的要求，输变电工程涉及占道施工的，需按照《广州交通运输局关于进一步规范城市道路挖掘修复工作的通知》、《广州市交通运输局 广州市公安局交通警察支队关于印发占道施工路段责任管理工作意见的通知》、《广州市交通运输关于进一步规范设置占道施工公示牌的通知》《广州市交通运输局关于科学评估优化中心城区城市道路占道施工围蔽和交通组织的通知》《广州市交通运输局关于启用市道路占道施工监管平台客户端的通知》等规范和管理要求提升供电占道施工项目的精细化管理水平。</w:t>
      </w:r>
    </w:p>
    <w:p w14:paraId="1557F43F">
      <w:pPr>
        <w:pStyle w:val="5"/>
        <w:shd w:val="clear" w:color="auto" w:fill="auto"/>
        <w:spacing w:after="0" w:line="360" w:lineRule="auto"/>
        <w:ind w:left="0" w:leftChars="0" w:firstLine="420" w:firstLineChars="200"/>
        <w:rPr>
          <w:rFonts w:hint="eastAsia" w:ascii="宋体" w:hAnsi="宋体" w:eastAsia="宋体" w:cs="Times New Roman"/>
          <w:strike w:val="0"/>
          <w:dstrike w:val="0"/>
          <w:color w:val="auto"/>
          <w:szCs w:val="21"/>
          <w:highlight w:val="none"/>
          <w:shd w:val="clear" w:color="auto" w:fill="auto"/>
          <w:lang w:val="en-US" w:eastAsia="zh-CN"/>
        </w:rPr>
      </w:pPr>
      <w:r>
        <w:rPr>
          <w:rFonts w:hint="eastAsia" w:ascii="宋体" w:hAnsi="宋体" w:eastAsia="宋体" w:cs="Times New Roman"/>
          <w:strike w:val="0"/>
          <w:dstrike w:val="0"/>
          <w:color w:val="auto"/>
          <w:szCs w:val="21"/>
          <w:highlight w:val="none"/>
          <w:shd w:val="clear" w:color="auto" w:fill="auto"/>
          <w:lang w:val="en-US" w:eastAsia="zh-CN"/>
        </w:rPr>
        <w:t>10、</w:t>
      </w:r>
      <w:r>
        <w:rPr>
          <w:rFonts w:hint="eastAsia" w:ascii="宋体" w:hAnsi="宋体" w:cs="Times New Roman"/>
          <w:strike w:val="0"/>
          <w:dstrike w:val="0"/>
          <w:color w:val="auto"/>
          <w:szCs w:val="21"/>
          <w:highlight w:val="none"/>
          <w:shd w:val="clear" w:color="auto" w:fill="auto"/>
          <w:lang w:val="en-US" w:eastAsia="zh-CN"/>
        </w:rPr>
        <w:t>建设单位要对变电站建筑工程、电力隧道工程、小型基建工程等</w:t>
      </w:r>
      <w:r>
        <w:rPr>
          <w:rFonts w:hint="eastAsia" w:ascii="宋体" w:hAnsi="宋体" w:eastAsia="宋体" w:cs="Times New Roman"/>
          <w:strike w:val="0"/>
          <w:dstrike w:val="0"/>
          <w:color w:val="auto"/>
          <w:szCs w:val="21"/>
          <w:highlight w:val="none"/>
          <w:shd w:val="clear" w:color="auto" w:fill="auto"/>
          <w:lang w:val="en-US" w:eastAsia="zh-CN"/>
        </w:rPr>
        <w:t>加强工程款项的监管，保证专款专用，</w:t>
      </w:r>
      <w:r>
        <w:rPr>
          <w:rFonts w:hint="eastAsia" w:ascii="宋体" w:hAnsi="宋体" w:cs="Times New Roman"/>
          <w:strike w:val="0"/>
          <w:dstrike w:val="0"/>
          <w:color w:val="auto"/>
          <w:szCs w:val="21"/>
          <w:highlight w:val="none"/>
          <w:shd w:val="clear" w:color="auto" w:fill="auto"/>
          <w:lang w:val="en-US" w:eastAsia="zh-CN"/>
        </w:rPr>
        <w:t>变电站建筑工程、电力隧道工程、小型基建工程的</w:t>
      </w:r>
      <w:r>
        <w:rPr>
          <w:rFonts w:hint="eastAsia" w:ascii="宋体" w:hAnsi="宋体" w:eastAsia="宋体" w:cs="Times New Roman"/>
          <w:strike w:val="0"/>
          <w:dstrike w:val="0"/>
          <w:color w:val="auto"/>
          <w:szCs w:val="21"/>
          <w:highlight w:val="none"/>
          <w:shd w:val="clear" w:color="auto" w:fill="auto"/>
          <w:lang w:val="en-US" w:eastAsia="zh-CN"/>
        </w:rPr>
        <w:t>中标人在与建设单位签订合同时需同时签订《工程款项监管协议》（详见附件）。</w:t>
      </w:r>
    </w:p>
    <w:p w14:paraId="2B70A08C">
      <w:pPr>
        <w:pStyle w:val="5"/>
        <w:shd w:val="clear" w:color="auto" w:fill="auto"/>
        <w:spacing w:after="0" w:line="360" w:lineRule="auto"/>
        <w:ind w:left="0" w:leftChars="0" w:firstLine="420" w:firstLineChars="200"/>
        <w:rPr>
          <w:color w:val="auto"/>
          <w:highlight w:val="none"/>
        </w:rPr>
      </w:pPr>
      <w:r>
        <w:rPr>
          <w:rFonts w:hint="eastAsia" w:ascii="宋体" w:hAnsi="宋体"/>
          <w:color w:val="auto"/>
          <w:szCs w:val="21"/>
          <w:highlight w:val="none"/>
          <w:shd w:val="clear" w:color="auto" w:fill="auto"/>
        </w:rPr>
        <w:t>11、承包人承诺已仔细阅读《广东电网有限责任公司广州供电局110千伏及以上输变电工程全过程造价咨询标准化工作手册》（最新版）、《广东电网有限责任公司广州供电局110千伏及以上输变电工程全过程造价咨询工作要求》（最新版）中各项管理规定，在项目执行过程中自愿服从并严格遵守各项管理规定的要求，在项目执行期间如若违反相关条款，承包人自愿接受发包人相关的处罚。</w:t>
      </w:r>
    </w:p>
    <w:p w14:paraId="36595A4A">
      <w:pPr>
        <w:pStyle w:val="5"/>
        <w:shd w:val="clear" w:color="auto" w:fill="auto"/>
        <w:spacing w:after="0" w:line="360" w:lineRule="auto"/>
        <w:ind w:left="0" w:leftChars="0" w:firstLine="420" w:firstLineChars="200"/>
        <w:rPr>
          <w:rFonts w:hint="eastAsia"/>
          <w:highlight w:val="none"/>
          <w:lang w:eastAsia="zh-CN"/>
        </w:rPr>
      </w:pPr>
    </w:p>
    <w:p w14:paraId="7B29F096">
      <w:pPr>
        <w:pStyle w:val="5"/>
        <w:spacing w:after="0" w:line="360" w:lineRule="auto"/>
        <w:ind w:left="0" w:leftChars="0" w:firstLine="0" w:firstLineChars="0"/>
        <w:jc w:val="left"/>
        <w:rPr>
          <w:rFonts w:hint="eastAsia" w:ascii="宋体" w:hAnsi="宋体"/>
          <w:b/>
          <w:bCs/>
          <w:color w:val="auto"/>
          <w:szCs w:val="21"/>
          <w:highlight w:val="none"/>
        </w:rPr>
      </w:pPr>
      <w:r>
        <w:rPr>
          <w:rFonts w:hint="eastAsia" w:ascii="宋体" w:hAnsi="宋体"/>
          <w:b/>
          <w:bCs/>
          <w:color w:val="auto"/>
          <w:szCs w:val="21"/>
          <w:highlight w:val="none"/>
        </w:rPr>
        <w:t>附件三 安全文明施工协议书</w:t>
      </w:r>
    </w:p>
    <w:p w14:paraId="502344DD">
      <w:pPr>
        <w:pStyle w:val="5"/>
        <w:spacing w:after="0" w:line="360" w:lineRule="auto"/>
        <w:ind w:left="0" w:leftChars="0" w:firstLine="0" w:firstLineChars="0"/>
        <w:rPr>
          <w:rFonts w:hint="eastAsia" w:ascii="宋体" w:hAnsi="宋体"/>
          <w:color w:val="auto"/>
          <w:szCs w:val="21"/>
          <w:highlight w:val="none"/>
        </w:rPr>
      </w:pPr>
      <w:r>
        <w:rPr>
          <w:rFonts w:hint="eastAsia" w:ascii="宋体"/>
          <w:b/>
          <w:color w:val="auto"/>
          <w:highlight w:val="none"/>
        </w:rPr>
        <w:t>替换以下内容到“三、严格执行本安全协议”</w:t>
      </w:r>
    </w:p>
    <w:p w14:paraId="3853D5C4">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1.如其中一方不遵守本协议中规定的安全责任造成人身、电网、设备事故及其一切损失，均由违反的一方负责，并按中国南方电网有限责任公司《安全管理规定》等相关的规定进行处罚。如乙方违反本协议，甲方将按照履约担保的程序进行索赔。</w:t>
      </w:r>
    </w:p>
    <w:p w14:paraId="568A57E9">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2.公司对出现未提供作业现场视频或弄虚作假、故意逃避视频监督等严禁和违章类问题及出现作业信息填报不正确、不规范等规范类问题的承包商，依据《中国南方电网有限责任公司基建项目承包商管理业务指导书》等相关承包商管理制度对其进行扣分处罚，本工程因此项原因扣分达到6分的，工程项目不予结算。</w:t>
      </w:r>
    </w:p>
    <w:p w14:paraId="46CE7FF3">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3.违反《广东电网有限责任公司作业现场安全纪律管理“六条铁律”》的的承包商人员（直接责任人和工作负责人），根据安监部门发布的处罚结果进行处罚。</w:t>
      </w:r>
    </w:p>
    <w:p w14:paraId="514CA98D">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4、执行《关于印发基建项目安全文明施工使用工作指引（试行）的通知》（广电办建[2022]28号）相关要求。</w:t>
      </w:r>
    </w:p>
    <w:p w14:paraId="2860583B">
      <w:pPr>
        <w:outlineLvl w:val="2"/>
        <w:rPr>
          <w:rFonts w:hint="eastAsia" w:ascii="宋体" w:hAnsi="宋体"/>
          <w:color w:val="auto"/>
          <w:szCs w:val="21"/>
          <w:highlight w:val="none"/>
        </w:rPr>
      </w:pPr>
    </w:p>
    <w:p w14:paraId="6FB63DF9">
      <w:pPr>
        <w:pStyle w:val="5"/>
        <w:shd w:val="clear" w:color="auto" w:fill="auto"/>
        <w:spacing w:after="0" w:line="360" w:lineRule="auto"/>
        <w:ind w:left="0" w:leftChars="0" w:firstLine="0" w:firstLineChars="0"/>
        <w:jc w:val="left"/>
        <w:rPr>
          <w:rFonts w:hint="eastAsia" w:ascii="宋体" w:hAnsi="宋体"/>
          <w:b/>
          <w:bCs/>
          <w:color w:val="auto"/>
          <w:szCs w:val="21"/>
          <w:highlight w:val="none"/>
        </w:rPr>
      </w:pPr>
      <w:r>
        <w:rPr>
          <w:rFonts w:hint="eastAsia" w:ascii="宋体" w:hAnsi="宋体"/>
          <w:b/>
          <w:bCs/>
          <w:color w:val="auto"/>
          <w:szCs w:val="21"/>
          <w:highlight w:val="none"/>
        </w:rPr>
        <w:t>附件十 分包管理</w:t>
      </w:r>
    </w:p>
    <w:p w14:paraId="1E9A2020">
      <w:pPr>
        <w:pStyle w:val="5"/>
        <w:shd w:val="clear" w:color="auto" w:fill="auto"/>
        <w:spacing w:after="0" w:line="360" w:lineRule="auto"/>
        <w:ind w:left="0" w:leftChars="0" w:firstLine="0" w:firstLineChars="0"/>
        <w:jc w:val="left"/>
        <w:rPr>
          <w:rFonts w:hint="eastAsia" w:ascii="宋体" w:hAnsi="宋体"/>
          <w:b/>
          <w:bCs/>
          <w:color w:val="auto"/>
          <w:szCs w:val="21"/>
          <w:highlight w:val="none"/>
        </w:rPr>
      </w:pPr>
      <w:r>
        <w:rPr>
          <w:rFonts w:hint="eastAsia" w:ascii="宋体" w:hAnsi="宋体"/>
          <w:b/>
          <w:bCs/>
          <w:color w:val="auto"/>
          <w:szCs w:val="21"/>
          <w:highlight w:val="none"/>
        </w:rPr>
        <w:t>增加以下内容到“附件</w:t>
      </w:r>
      <w:r>
        <w:rPr>
          <w:rFonts w:hint="eastAsia" w:ascii="宋体" w:hAnsi="宋体"/>
          <w:b/>
          <w:bCs/>
          <w:color w:val="auto"/>
          <w:szCs w:val="21"/>
          <w:highlight w:val="none"/>
          <w:lang w:eastAsia="zh-CN"/>
        </w:rPr>
        <w:t>十</w:t>
      </w:r>
      <w:r>
        <w:rPr>
          <w:rFonts w:hint="eastAsia" w:ascii="宋体" w:hAnsi="宋体"/>
          <w:b/>
          <w:bCs/>
          <w:color w:val="auto"/>
          <w:szCs w:val="21"/>
          <w:highlight w:val="none"/>
        </w:rPr>
        <w:t>”</w:t>
      </w:r>
    </w:p>
    <w:p w14:paraId="6C013753">
      <w:pPr>
        <w:autoSpaceDE w:val="0"/>
        <w:autoSpaceDN w:val="0"/>
        <w:jc w:val="left"/>
        <w:rPr>
          <w:rFonts w:hint="eastAsia" w:ascii="宋体" w:hAnsi="宋体" w:cs="仿宋_GB2312"/>
          <w:color w:val="auto"/>
          <w:szCs w:val="21"/>
          <w:highlight w:val="none"/>
        </w:rPr>
      </w:pPr>
      <w:r>
        <w:rPr>
          <w:rFonts w:hint="eastAsia" w:ascii="宋体" w:hAnsi="宋体" w:cs="仿宋_GB2312"/>
          <w:color w:val="auto"/>
          <w:szCs w:val="21"/>
          <w:highlight w:val="none"/>
        </w:rPr>
        <w:t xml:space="preserve">  经发包人书面同意，可分包的内容和类型如下：</w:t>
      </w:r>
    </w:p>
    <w:p w14:paraId="0A1C1FA3">
      <w:pPr>
        <w:spacing w:line="360" w:lineRule="auto"/>
        <w:jc w:val="center"/>
        <w:rPr>
          <w:rFonts w:hint="eastAsia" w:ascii="宋体" w:hAnsi="宋体"/>
          <w:b/>
          <w:color w:val="auto"/>
          <w:szCs w:val="24"/>
          <w:highlight w:val="none"/>
        </w:rPr>
      </w:pPr>
      <w:r>
        <w:rPr>
          <w:rFonts w:hint="eastAsia" w:ascii="宋体" w:hAnsi="宋体"/>
          <w:b/>
          <w:color w:val="auto"/>
          <w:sz w:val="24"/>
          <w:szCs w:val="24"/>
          <w:highlight w:val="none"/>
        </w:rPr>
        <w:t>电网建设工程施工允许分包范围</w:t>
      </w:r>
    </w:p>
    <w:p w14:paraId="332A8874">
      <w:pPr>
        <w:rPr>
          <w:rFonts w:hint="eastAsia" w:ascii="仿宋_GB2312" w:hAnsi="宋体" w:eastAsia="仿宋_GB2312"/>
          <w:color w:val="auto"/>
          <w:sz w:val="24"/>
          <w:highlight w:val="none"/>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9"/>
        <w:gridCol w:w="1620"/>
        <w:gridCol w:w="1800"/>
        <w:gridCol w:w="1521"/>
        <w:gridCol w:w="1528"/>
        <w:gridCol w:w="1460"/>
      </w:tblGrid>
      <w:tr w14:paraId="0F00B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blHeader/>
          <w:jc w:val="center"/>
        </w:trPr>
        <w:tc>
          <w:tcPr>
            <w:tcW w:w="999" w:type="dxa"/>
            <w:noWrap w:val="0"/>
            <w:vAlign w:val="center"/>
          </w:tcPr>
          <w:p w14:paraId="5E1027E9">
            <w:pPr>
              <w:jc w:val="center"/>
              <w:rPr>
                <w:rFonts w:hint="eastAsia" w:ascii="宋体" w:hAnsi="宋体" w:cs="宋体"/>
                <w:b/>
                <w:color w:val="auto"/>
                <w:szCs w:val="21"/>
                <w:highlight w:val="none"/>
              </w:rPr>
            </w:pPr>
            <w:r>
              <w:rPr>
                <w:rFonts w:hint="eastAsia" w:ascii="宋体" w:hAnsi="宋体" w:cs="宋体"/>
                <w:b/>
                <w:color w:val="auto"/>
                <w:szCs w:val="21"/>
                <w:highlight w:val="none"/>
              </w:rPr>
              <w:t>序号</w:t>
            </w:r>
          </w:p>
        </w:tc>
        <w:tc>
          <w:tcPr>
            <w:tcW w:w="1620" w:type="dxa"/>
            <w:noWrap w:val="0"/>
            <w:vAlign w:val="center"/>
          </w:tcPr>
          <w:p w14:paraId="7765D412">
            <w:pPr>
              <w:jc w:val="center"/>
              <w:rPr>
                <w:rFonts w:hint="eastAsia" w:ascii="宋体" w:hAnsi="宋体" w:cs="宋体"/>
                <w:b/>
                <w:color w:val="auto"/>
                <w:szCs w:val="21"/>
                <w:highlight w:val="none"/>
              </w:rPr>
            </w:pPr>
            <w:r>
              <w:rPr>
                <w:rFonts w:hint="eastAsia" w:ascii="宋体" w:hAnsi="宋体" w:cs="宋体"/>
                <w:b/>
                <w:color w:val="auto"/>
                <w:szCs w:val="21"/>
                <w:highlight w:val="none"/>
              </w:rPr>
              <w:t>项目类型</w:t>
            </w:r>
          </w:p>
        </w:tc>
        <w:tc>
          <w:tcPr>
            <w:tcW w:w="1800" w:type="dxa"/>
            <w:noWrap w:val="0"/>
            <w:vAlign w:val="center"/>
          </w:tcPr>
          <w:p w14:paraId="5B8A06A0">
            <w:pPr>
              <w:jc w:val="center"/>
              <w:rPr>
                <w:rFonts w:hint="eastAsia" w:ascii="宋体" w:hAnsi="宋体" w:cs="宋体"/>
                <w:b/>
                <w:color w:val="auto"/>
                <w:szCs w:val="21"/>
                <w:highlight w:val="none"/>
              </w:rPr>
            </w:pPr>
            <w:r>
              <w:rPr>
                <w:rFonts w:hint="eastAsia" w:ascii="宋体" w:hAnsi="宋体" w:cs="宋体"/>
                <w:b/>
                <w:color w:val="auto"/>
                <w:szCs w:val="21"/>
                <w:highlight w:val="none"/>
              </w:rPr>
              <w:t>工程内容</w:t>
            </w:r>
          </w:p>
        </w:tc>
        <w:tc>
          <w:tcPr>
            <w:tcW w:w="1521" w:type="dxa"/>
            <w:noWrap w:val="0"/>
            <w:vAlign w:val="center"/>
          </w:tcPr>
          <w:p w14:paraId="3BEAF068">
            <w:pPr>
              <w:jc w:val="center"/>
              <w:rPr>
                <w:rFonts w:hint="eastAsia" w:ascii="宋体" w:hAnsi="宋体" w:cs="宋体"/>
                <w:b/>
                <w:color w:val="auto"/>
                <w:szCs w:val="21"/>
                <w:highlight w:val="none"/>
              </w:rPr>
            </w:pPr>
            <w:r>
              <w:rPr>
                <w:rFonts w:hint="eastAsia" w:ascii="宋体" w:hAnsi="宋体" w:cs="宋体"/>
                <w:b/>
                <w:color w:val="auto"/>
                <w:szCs w:val="21"/>
                <w:highlight w:val="none"/>
              </w:rPr>
              <w:t>可分包类型</w:t>
            </w:r>
          </w:p>
        </w:tc>
        <w:tc>
          <w:tcPr>
            <w:tcW w:w="1528" w:type="dxa"/>
            <w:noWrap w:val="0"/>
            <w:vAlign w:val="center"/>
          </w:tcPr>
          <w:p w14:paraId="704B28E3">
            <w:pPr>
              <w:jc w:val="center"/>
              <w:rPr>
                <w:rFonts w:hint="eastAsia" w:ascii="宋体" w:hAnsi="宋体" w:cs="宋体"/>
                <w:b/>
                <w:color w:val="auto"/>
                <w:szCs w:val="21"/>
                <w:highlight w:val="none"/>
              </w:rPr>
            </w:pPr>
            <w:r>
              <w:rPr>
                <w:rFonts w:hint="eastAsia" w:ascii="宋体" w:hAnsi="宋体" w:cs="宋体"/>
                <w:b/>
                <w:color w:val="auto"/>
                <w:szCs w:val="21"/>
                <w:highlight w:val="none"/>
              </w:rPr>
              <w:t>再分包内容</w:t>
            </w:r>
          </w:p>
        </w:tc>
        <w:tc>
          <w:tcPr>
            <w:tcW w:w="1460" w:type="dxa"/>
            <w:noWrap w:val="0"/>
            <w:vAlign w:val="center"/>
          </w:tcPr>
          <w:p w14:paraId="3CEEDDF8">
            <w:pPr>
              <w:jc w:val="center"/>
              <w:rPr>
                <w:rFonts w:hint="eastAsia" w:ascii="宋体" w:hAnsi="宋体" w:cs="宋体"/>
                <w:b/>
                <w:color w:val="auto"/>
                <w:szCs w:val="21"/>
                <w:highlight w:val="none"/>
              </w:rPr>
            </w:pPr>
            <w:r>
              <w:rPr>
                <w:rFonts w:hint="eastAsia" w:ascii="宋体" w:hAnsi="宋体" w:cs="宋体"/>
                <w:b/>
                <w:color w:val="auto"/>
                <w:szCs w:val="21"/>
                <w:highlight w:val="none"/>
              </w:rPr>
              <w:t>备注</w:t>
            </w:r>
          </w:p>
        </w:tc>
      </w:tr>
      <w:tr w14:paraId="648A5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noWrap w:val="0"/>
            <w:vAlign w:val="center"/>
          </w:tcPr>
          <w:p w14:paraId="73AC2CE1">
            <w:pPr>
              <w:jc w:val="center"/>
              <w:rPr>
                <w:rFonts w:hint="eastAsia" w:ascii="宋体" w:hAnsi="宋体" w:cs="宋体"/>
                <w:b/>
                <w:color w:val="auto"/>
                <w:szCs w:val="21"/>
                <w:highlight w:val="none"/>
              </w:rPr>
            </w:pPr>
            <w:r>
              <w:rPr>
                <w:rFonts w:hint="eastAsia" w:ascii="宋体" w:hAnsi="宋体" w:cs="宋体"/>
                <w:b/>
                <w:color w:val="auto"/>
                <w:szCs w:val="21"/>
                <w:highlight w:val="none"/>
              </w:rPr>
              <w:t>1</w:t>
            </w:r>
          </w:p>
        </w:tc>
        <w:tc>
          <w:tcPr>
            <w:tcW w:w="1620" w:type="dxa"/>
            <w:noWrap w:val="0"/>
            <w:vAlign w:val="center"/>
          </w:tcPr>
          <w:p w14:paraId="7D0A5344">
            <w:pPr>
              <w:jc w:val="center"/>
              <w:rPr>
                <w:rFonts w:hint="eastAsia" w:ascii="宋体" w:hAnsi="宋体" w:cs="宋体"/>
                <w:b/>
                <w:color w:val="auto"/>
                <w:szCs w:val="21"/>
                <w:highlight w:val="none"/>
              </w:rPr>
            </w:pPr>
            <w:r>
              <w:rPr>
                <w:rFonts w:hint="eastAsia" w:ascii="宋体" w:hAnsi="宋体" w:cs="宋体"/>
                <w:b/>
                <w:color w:val="auto"/>
                <w:szCs w:val="21"/>
                <w:highlight w:val="none"/>
              </w:rPr>
              <w:t>输变电工程</w:t>
            </w:r>
          </w:p>
        </w:tc>
        <w:tc>
          <w:tcPr>
            <w:tcW w:w="1800" w:type="dxa"/>
            <w:noWrap w:val="0"/>
            <w:vAlign w:val="center"/>
          </w:tcPr>
          <w:p w14:paraId="4C580C9B">
            <w:pPr>
              <w:jc w:val="center"/>
              <w:rPr>
                <w:rFonts w:hint="eastAsia" w:ascii="宋体" w:hAnsi="宋体" w:cs="宋体"/>
                <w:color w:val="auto"/>
                <w:szCs w:val="21"/>
                <w:highlight w:val="none"/>
              </w:rPr>
            </w:pPr>
          </w:p>
        </w:tc>
        <w:tc>
          <w:tcPr>
            <w:tcW w:w="1521" w:type="dxa"/>
            <w:noWrap w:val="0"/>
            <w:vAlign w:val="center"/>
          </w:tcPr>
          <w:p w14:paraId="7ACDD69E">
            <w:pPr>
              <w:jc w:val="center"/>
              <w:rPr>
                <w:rFonts w:hint="eastAsia" w:ascii="宋体" w:hAnsi="宋体" w:cs="宋体"/>
                <w:color w:val="auto"/>
                <w:szCs w:val="21"/>
                <w:highlight w:val="none"/>
              </w:rPr>
            </w:pPr>
          </w:p>
        </w:tc>
        <w:tc>
          <w:tcPr>
            <w:tcW w:w="1528" w:type="dxa"/>
            <w:noWrap w:val="0"/>
            <w:vAlign w:val="center"/>
          </w:tcPr>
          <w:p w14:paraId="59EB04C0">
            <w:pPr>
              <w:jc w:val="center"/>
              <w:rPr>
                <w:rFonts w:hint="eastAsia" w:ascii="宋体" w:hAnsi="宋体" w:cs="宋体"/>
                <w:color w:val="auto"/>
                <w:szCs w:val="21"/>
                <w:highlight w:val="none"/>
              </w:rPr>
            </w:pPr>
          </w:p>
        </w:tc>
        <w:tc>
          <w:tcPr>
            <w:tcW w:w="1460" w:type="dxa"/>
            <w:noWrap w:val="0"/>
            <w:vAlign w:val="center"/>
          </w:tcPr>
          <w:p w14:paraId="22EB3FCD">
            <w:pPr>
              <w:jc w:val="center"/>
              <w:rPr>
                <w:rFonts w:hint="eastAsia" w:ascii="宋体" w:hAnsi="宋体" w:cs="宋体"/>
                <w:color w:val="auto"/>
                <w:szCs w:val="21"/>
                <w:highlight w:val="none"/>
              </w:rPr>
            </w:pPr>
          </w:p>
        </w:tc>
      </w:tr>
      <w:tr w14:paraId="1390F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noWrap w:val="0"/>
            <w:vAlign w:val="center"/>
          </w:tcPr>
          <w:p w14:paraId="23CD8144">
            <w:pPr>
              <w:jc w:val="center"/>
              <w:rPr>
                <w:rFonts w:hint="eastAsia" w:ascii="宋体" w:hAnsi="宋体" w:cs="宋体"/>
                <w:b/>
                <w:color w:val="auto"/>
                <w:szCs w:val="21"/>
                <w:highlight w:val="none"/>
              </w:rPr>
            </w:pPr>
            <w:r>
              <w:rPr>
                <w:rFonts w:hint="eastAsia" w:ascii="宋体" w:hAnsi="宋体" w:cs="宋体"/>
                <w:b/>
                <w:color w:val="auto"/>
                <w:szCs w:val="21"/>
                <w:highlight w:val="none"/>
              </w:rPr>
              <w:t>1.1</w:t>
            </w:r>
          </w:p>
        </w:tc>
        <w:tc>
          <w:tcPr>
            <w:tcW w:w="1620" w:type="dxa"/>
            <w:noWrap w:val="0"/>
            <w:vAlign w:val="center"/>
          </w:tcPr>
          <w:p w14:paraId="4089D8FC">
            <w:pPr>
              <w:jc w:val="center"/>
              <w:rPr>
                <w:rFonts w:hint="eastAsia" w:ascii="宋体" w:hAnsi="宋体" w:cs="宋体"/>
                <w:b/>
                <w:color w:val="auto"/>
                <w:szCs w:val="21"/>
                <w:highlight w:val="none"/>
              </w:rPr>
            </w:pPr>
            <w:r>
              <w:rPr>
                <w:rFonts w:hint="eastAsia" w:ascii="宋体" w:hAnsi="宋体" w:cs="宋体"/>
                <w:b/>
                <w:color w:val="auto"/>
                <w:szCs w:val="21"/>
                <w:highlight w:val="none"/>
              </w:rPr>
              <w:t>主体工程</w:t>
            </w:r>
          </w:p>
        </w:tc>
        <w:tc>
          <w:tcPr>
            <w:tcW w:w="1800" w:type="dxa"/>
            <w:noWrap w:val="0"/>
            <w:vAlign w:val="center"/>
          </w:tcPr>
          <w:p w14:paraId="75250B46">
            <w:pPr>
              <w:jc w:val="center"/>
              <w:rPr>
                <w:rFonts w:hint="eastAsia" w:ascii="宋体" w:hAnsi="宋体" w:cs="宋体"/>
                <w:color w:val="auto"/>
                <w:szCs w:val="21"/>
                <w:highlight w:val="none"/>
              </w:rPr>
            </w:pPr>
          </w:p>
        </w:tc>
        <w:tc>
          <w:tcPr>
            <w:tcW w:w="1521" w:type="dxa"/>
            <w:noWrap w:val="0"/>
            <w:vAlign w:val="center"/>
          </w:tcPr>
          <w:p w14:paraId="217AE5B7">
            <w:pPr>
              <w:jc w:val="center"/>
              <w:rPr>
                <w:rFonts w:hint="eastAsia" w:ascii="宋体" w:hAnsi="宋体" w:cs="宋体"/>
                <w:color w:val="auto"/>
                <w:szCs w:val="21"/>
                <w:highlight w:val="none"/>
              </w:rPr>
            </w:pPr>
          </w:p>
        </w:tc>
        <w:tc>
          <w:tcPr>
            <w:tcW w:w="1528" w:type="dxa"/>
            <w:noWrap w:val="0"/>
            <w:vAlign w:val="center"/>
          </w:tcPr>
          <w:p w14:paraId="16B74D6C">
            <w:pPr>
              <w:jc w:val="center"/>
              <w:rPr>
                <w:rFonts w:hint="eastAsia" w:ascii="宋体" w:hAnsi="宋体" w:cs="宋体"/>
                <w:color w:val="auto"/>
                <w:szCs w:val="21"/>
                <w:highlight w:val="none"/>
              </w:rPr>
            </w:pPr>
          </w:p>
        </w:tc>
        <w:tc>
          <w:tcPr>
            <w:tcW w:w="1460" w:type="dxa"/>
            <w:noWrap w:val="0"/>
            <w:vAlign w:val="center"/>
          </w:tcPr>
          <w:p w14:paraId="47B383F5">
            <w:pPr>
              <w:jc w:val="center"/>
              <w:rPr>
                <w:rFonts w:hint="eastAsia" w:ascii="宋体" w:hAnsi="宋体" w:cs="宋体"/>
                <w:color w:val="auto"/>
                <w:szCs w:val="21"/>
                <w:highlight w:val="none"/>
              </w:rPr>
            </w:pPr>
          </w:p>
        </w:tc>
      </w:tr>
      <w:tr w14:paraId="5D85E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14:paraId="523DD541">
            <w:pPr>
              <w:jc w:val="center"/>
              <w:rPr>
                <w:rFonts w:hint="eastAsia" w:ascii="宋体" w:hAnsi="宋体" w:cs="宋体"/>
                <w:color w:val="auto"/>
                <w:szCs w:val="21"/>
                <w:highlight w:val="none"/>
              </w:rPr>
            </w:pPr>
            <w:r>
              <w:rPr>
                <w:rFonts w:hint="eastAsia" w:ascii="宋体" w:hAnsi="宋体" w:cs="宋体"/>
                <w:color w:val="auto"/>
                <w:szCs w:val="21"/>
                <w:highlight w:val="none"/>
              </w:rPr>
              <w:t>1.1.1</w:t>
            </w:r>
          </w:p>
        </w:tc>
        <w:tc>
          <w:tcPr>
            <w:tcW w:w="1620" w:type="dxa"/>
            <w:vMerge w:val="restart"/>
            <w:noWrap w:val="0"/>
            <w:vAlign w:val="center"/>
          </w:tcPr>
          <w:p w14:paraId="2299EB37">
            <w:pPr>
              <w:jc w:val="center"/>
              <w:rPr>
                <w:rFonts w:hint="eastAsia" w:ascii="宋体" w:hAnsi="宋体" w:cs="宋体"/>
                <w:color w:val="auto"/>
                <w:szCs w:val="21"/>
                <w:highlight w:val="none"/>
              </w:rPr>
            </w:pPr>
            <w:r>
              <w:rPr>
                <w:rFonts w:hint="eastAsia" w:ascii="宋体" w:hAnsi="宋体" w:cs="宋体"/>
                <w:color w:val="auto"/>
                <w:szCs w:val="21"/>
                <w:highlight w:val="none"/>
              </w:rPr>
              <w:t>变电站工程</w:t>
            </w:r>
          </w:p>
        </w:tc>
        <w:tc>
          <w:tcPr>
            <w:tcW w:w="1800" w:type="dxa"/>
            <w:noWrap w:val="0"/>
            <w:vAlign w:val="center"/>
          </w:tcPr>
          <w:p w14:paraId="7030E136">
            <w:pPr>
              <w:jc w:val="center"/>
              <w:rPr>
                <w:rFonts w:hint="eastAsia" w:ascii="宋体" w:hAnsi="宋体" w:cs="宋体"/>
                <w:color w:val="auto"/>
                <w:szCs w:val="21"/>
                <w:highlight w:val="none"/>
              </w:rPr>
            </w:pPr>
            <w:r>
              <w:rPr>
                <w:rFonts w:hint="eastAsia" w:ascii="宋体" w:hAnsi="宋体" w:cs="宋体"/>
                <w:color w:val="auto"/>
                <w:szCs w:val="21"/>
                <w:highlight w:val="none"/>
              </w:rPr>
              <w:t>电气一次设备安装</w:t>
            </w:r>
          </w:p>
        </w:tc>
        <w:tc>
          <w:tcPr>
            <w:tcW w:w="1521" w:type="dxa"/>
            <w:noWrap w:val="0"/>
            <w:vAlign w:val="center"/>
          </w:tcPr>
          <w:p w14:paraId="245D738C">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0BBCA12E">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165137A5">
            <w:pPr>
              <w:jc w:val="center"/>
              <w:rPr>
                <w:rFonts w:hint="eastAsia" w:ascii="宋体" w:hAnsi="宋体" w:cs="宋体"/>
                <w:color w:val="auto"/>
                <w:szCs w:val="21"/>
                <w:highlight w:val="none"/>
              </w:rPr>
            </w:pPr>
          </w:p>
        </w:tc>
      </w:tr>
      <w:tr w14:paraId="1AEDB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75421B46">
            <w:pPr>
              <w:jc w:val="center"/>
              <w:rPr>
                <w:rFonts w:hint="eastAsia" w:ascii="宋体" w:hAnsi="宋体" w:cs="宋体"/>
                <w:color w:val="auto"/>
                <w:szCs w:val="21"/>
                <w:highlight w:val="none"/>
              </w:rPr>
            </w:pPr>
          </w:p>
        </w:tc>
        <w:tc>
          <w:tcPr>
            <w:tcW w:w="1620" w:type="dxa"/>
            <w:vMerge w:val="continue"/>
            <w:noWrap w:val="0"/>
            <w:vAlign w:val="center"/>
          </w:tcPr>
          <w:p w14:paraId="38B3A81D">
            <w:pPr>
              <w:jc w:val="center"/>
              <w:rPr>
                <w:rFonts w:hint="eastAsia" w:ascii="宋体" w:hAnsi="宋体" w:cs="宋体"/>
                <w:color w:val="auto"/>
                <w:szCs w:val="21"/>
                <w:highlight w:val="none"/>
              </w:rPr>
            </w:pPr>
          </w:p>
        </w:tc>
        <w:tc>
          <w:tcPr>
            <w:tcW w:w="1800" w:type="dxa"/>
            <w:noWrap w:val="0"/>
            <w:vAlign w:val="center"/>
          </w:tcPr>
          <w:p w14:paraId="75F84469">
            <w:pPr>
              <w:jc w:val="center"/>
              <w:rPr>
                <w:rFonts w:hint="eastAsia" w:ascii="宋体" w:hAnsi="宋体" w:cs="宋体"/>
                <w:color w:val="auto"/>
                <w:szCs w:val="21"/>
                <w:highlight w:val="none"/>
              </w:rPr>
            </w:pPr>
            <w:r>
              <w:rPr>
                <w:rFonts w:hint="eastAsia" w:ascii="宋体" w:hAnsi="宋体" w:cs="宋体"/>
                <w:color w:val="auto"/>
                <w:szCs w:val="21"/>
                <w:highlight w:val="none"/>
              </w:rPr>
              <w:t>电气二次设备安装</w:t>
            </w:r>
          </w:p>
        </w:tc>
        <w:tc>
          <w:tcPr>
            <w:tcW w:w="1521" w:type="dxa"/>
            <w:noWrap w:val="0"/>
            <w:vAlign w:val="center"/>
          </w:tcPr>
          <w:p w14:paraId="6CE5EF2C">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7E6E6DD7">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00D57B12">
            <w:pPr>
              <w:jc w:val="center"/>
              <w:rPr>
                <w:rFonts w:hint="eastAsia" w:ascii="宋体" w:hAnsi="宋体" w:cs="宋体"/>
                <w:color w:val="auto"/>
                <w:szCs w:val="21"/>
                <w:highlight w:val="none"/>
              </w:rPr>
            </w:pPr>
          </w:p>
        </w:tc>
      </w:tr>
      <w:tr w14:paraId="649AB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689BC8CC">
            <w:pPr>
              <w:jc w:val="center"/>
              <w:rPr>
                <w:rFonts w:hint="eastAsia" w:ascii="宋体" w:hAnsi="宋体" w:cs="宋体"/>
                <w:color w:val="auto"/>
                <w:szCs w:val="21"/>
                <w:highlight w:val="none"/>
              </w:rPr>
            </w:pPr>
          </w:p>
        </w:tc>
        <w:tc>
          <w:tcPr>
            <w:tcW w:w="1620" w:type="dxa"/>
            <w:vMerge w:val="continue"/>
            <w:noWrap w:val="0"/>
            <w:vAlign w:val="center"/>
          </w:tcPr>
          <w:p w14:paraId="72A59A19">
            <w:pPr>
              <w:jc w:val="center"/>
              <w:rPr>
                <w:rFonts w:hint="eastAsia" w:ascii="宋体" w:hAnsi="宋体" w:cs="宋体"/>
                <w:color w:val="auto"/>
                <w:szCs w:val="21"/>
                <w:highlight w:val="none"/>
              </w:rPr>
            </w:pPr>
          </w:p>
        </w:tc>
        <w:tc>
          <w:tcPr>
            <w:tcW w:w="1800" w:type="dxa"/>
            <w:noWrap w:val="0"/>
            <w:vAlign w:val="center"/>
          </w:tcPr>
          <w:p w14:paraId="264AE4A1">
            <w:pPr>
              <w:jc w:val="center"/>
              <w:rPr>
                <w:rFonts w:hint="eastAsia" w:ascii="宋体" w:hAnsi="宋体" w:cs="宋体"/>
                <w:color w:val="auto"/>
                <w:szCs w:val="21"/>
                <w:highlight w:val="none"/>
              </w:rPr>
            </w:pPr>
            <w:r>
              <w:rPr>
                <w:rFonts w:hint="eastAsia" w:ascii="宋体" w:hAnsi="宋体" w:cs="宋体"/>
                <w:color w:val="auto"/>
                <w:szCs w:val="21"/>
                <w:highlight w:val="none"/>
              </w:rPr>
              <w:t>构支架组立</w:t>
            </w:r>
          </w:p>
        </w:tc>
        <w:tc>
          <w:tcPr>
            <w:tcW w:w="1521" w:type="dxa"/>
            <w:noWrap w:val="0"/>
            <w:vAlign w:val="center"/>
          </w:tcPr>
          <w:p w14:paraId="75C6D761">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48623FF2">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004354D7">
            <w:pPr>
              <w:jc w:val="center"/>
              <w:rPr>
                <w:rFonts w:hint="eastAsia" w:ascii="宋体" w:hAnsi="宋体" w:cs="宋体"/>
                <w:color w:val="auto"/>
                <w:szCs w:val="21"/>
                <w:highlight w:val="none"/>
              </w:rPr>
            </w:pPr>
          </w:p>
        </w:tc>
      </w:tr>
      <w:tr w14:paraId="65387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578D2EBE">
            <w:pPr>
              <w:jc w:val="center"/>
              <w:rPr>
                <w:rFonts w:hint="eastAsia" w:ascii="宋体" w:hAnsi="宋体" w:cs="宋体"/>
                <w:color w:val="auto"/>
                <w:szCs w:val="21"/>
                <w:highlight w:val="none"/>
              </w:rPr>
            </w:pPr>
          </w:p>
        </w:tc>
        <w:tc>
          <w:tcPr>
            <w:tcW w:w="1620" w:type="dxa"/>
            <w:vMerge w:val="continue"/>
            <w:noWrap w:val="0"/>
            <w:vAlign w:val="center"/>
          </w:tcPr>
          <w:p w14:paraId="72250A5C">
            <w:pPr>
              <w:jc w:val="center"/>
              <w:rPr>
                <w:rFonts w:hint="eastAsia" w:ascii="宋体" w:hAnsi="宋体" w:cs="宋体"/>
                <w:color w:val="auto"/>
                <w:szCs w:val="21"/>
                <w:highlight w:val="none"/>
              </w:rPr>
            </w:pPr>
          </w:p>
        </w:tc>
        <w:tc>
          <w:tcPr>
            <w:tcW w:w="1800" w:type="dxa"/>
            <w:noWrap w:val="0"/>
            <w:vAlign w:val="center"/>
          </w:tcPr>
          <w:p w14:paraId="389F1398">
            <w:pPr>
              <w:jc w:val="center"/>
              <w:rPr>
                <w:rFonts w:hint="eastAsia" w:ascii="宋体" w:hAnsi="宋体" w:cs="宋体"/>
                <w:color w:val="auto"/>
                <w:szCs w:val="21"/>
                <w:highlight w:val="none"/>
              </w:rPr>
            </w:pPr>
            <w:r>
              <w:rPr>
                <w:rFonts w:hint="eastAsia" w:ascii="宋体" w:hAnsi="宋体" w:cs="宋体"/>
                <w:color w:val="auto"/>
                <w:szCs w:val="21"/>
                <w:highlight w:val="none"/>
              </w:rPr>
              <w:t>分系统及整套启动试运</w:t>
            </w:r>
          </w:p>
        </w:tc>
        <w:tc>
          <w:tcPr>
            <w:tcW w:w="1521" w:type="dxa"/>
            <w:noWrap w:val="0"/>
            <w:vAlign w:val="center"/>
          </w:tcPr>
          <w:p w14:paraId="00FCA928">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69EAB2E3">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454F94BD">
            <w:pPr>
              <w:jc w:val="center"/>
              <w:rPr>
                <w:rFonts w:hint="eastAsia" w:ascii="宋体" w:hAnsi="宋体" w:cs="宋体"/>
                <w:color w:val="auto"/>
                <w:szCs w:val="21"/>
                <w:highlight w:val="none"/>
              </w:rPr>
            </w:pPr>
          </w:p>
        </w:tc>
      </w:tr>
      <w:tr w14:paraId="3A436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14:paraId="2AB92B16">
            <w:pPr>
              <w:jc w:val="center"/>
              <w:rPr>
                <w:rFonts w:hint="eastAsia" w:ascii="宋体" w:hAnsi="宋体" w:cs="宋体"/>
                <w:color w:val="auto"/>
                <w:szCs w:val="21"/>
                <w:highlight w:val="none"/>
              </w:rPr>
            </w:pPr>
            <w:r>
              <w:rPr>
                <w:rFonts w:hint="eastAsia" w:ascii="宋体" w:hAnsi="宋体" w:cs="宋体"/>
                <w:color w:val="auto"/>
                <w:szCs w:val="21"/>
                <w:highlight w:val="none"/>
              </w:rPr>
              <w:t>1.1.2</w:t>
            </w:r>
          </w:p>
        </w:tc>
        <w:tc>
          <w:tcPr>
            <w:tcW w:w="1620" w:type="dxa"/>
            <w:vMerge w:val="restart"/>
            <w:noWrap w:val="0"/>
            <w:vAlign w:val="center"/>
          </w:tcPr>
          <w:p w14:paraId="6B9734B2">
            <w:pPr>
              <w:jc w:val="center"/>
              <w:rPr>
                <w:rFonts w:hint="eastAsia" w:ascii="宋体" w:hAnsi="宋体" w:cs="宋体"/>
                <w:color w:val="auto"/>
                <w:szCs w:val="21"/>
                <w:highlight w:val="none"/>
              </w:rPr>
            </w:pPr>
            <w:r>
              <w:rPr>
                <w:rFonts w:hint="eastAsia" w:ascii="宋体" w:hAnsi="宋体" w:cs="宋体"/>
                <w:color w:val="auto"/>
                <w:szCs w:val="21"/>
                <w:highlight w:val="none"/>
              </w:rPr>
              <w:t>线路工程</w:t>
            </w:r>
          </w:p>
        </w:tc>
        <w:tc>
          <w:tcPr>
            <w:tcW w:w="1800" w:type="dxa"/>
            <w:noWrap w:val="0"/>
            <w:vAlign w:val="center"/>
          </w:tcPr>
          <w:p w14:paraId="707DBD77">
            <w:pPr>
              <w:jc w:val="center"/>
              <w:rPr>
                <w:rFonts w:hint="eastAsia" w:ascii="宋体" w:hAnsi="宋体" w:cs="宋体"/>
                <w:color w:val="auto"/>
                <w:szCs w:val="21"/>
                <w:highlight w:val="none"/>
              </w:rPr>
            </w:pPr>
            <w:r>
              <w:rPr>
                <w:rFonts w:hint="eastAsia" w:ascii="宋体" w:hAnsi="宋体" w:cs="宋体"/>
                <w:color w:val="auto"/>
                <w:szCs w:val="21"/>
                <w:highlight w:val="none"/>
              </w:rPr>
              <w:t>杆塔组立</w:t>
            </w:r>
          </w:p>
        </w:tc>
        <w:tc>
          <w:tcPr>
            <w:tcW w:w="1521" w:type="dxa"/>
            <w:noWrap w:val="0"/>
            <w:vAlign w:val="center"/>
          </w:tcPr>
          <w:p w14:paraId="5481A11A">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12644BDE">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6F553B94">
            <w:pPr>
              <w:jc w:val="center"/>
              <w:rPr>
                <w:rFonts w:hint="eastAsia" w:ascii="宋体" w:hAnsi="宋体" w:cs="宋体"/>
                <w:color w:val="auto"/>
                <w:szCs w:val="21"/>
                <w:highlight w:val="none"/>
              </w:rPr>
            </w:pPr>
          </w:p>
        </w:tc>
      </w:tr>
      <w:tr w14:paraId="2875B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44394E72">
            <w:pPr>
              <w:jc w:val="center"/>
              <w:rPr>
                <w:rFonts w:hint="eastAsia" w:ascii="宋体" w:hAnsi="宋体" w:cs="宋体"/>
                <w:color w:val="auto"/>
                <w:szCs w:val="21"/>
                <w:highlight w:val="none"/>
              </w:rPr>
            </w:pPr>
          </w:p>
        </w:tc>
        <w:tc>
          <w:tcPr>
            <w:tcW w:w="1620" w:type="dxa"/>
            <w:vMerge w:val="continue"/>
            <w:noWrap w:val="0"/>
            <w:vAlign w:val="center"/>
          </w:tcPr>
          <w:p w14:paraId="726BA206">
            <w:pPr>
              <w:jc w:val="center"/>
              <w:rPr>
                <w:rFonts w:hint="eastAsia" w:ascii="宋体" w:hAnsi="宋体" w:cs="宋体"/>
                <w:color w:val="auto"/>
                <w:szCs w:val="21"/>
                <w:highlight w:val="none"/>
              </w:rPr>
            </w:pPr>
          </w:p>
        </w:tc>
        <w:tc>
          <w:tcPr>
            <w:tcW w:w="1800" w:type="dxa"/>
            <w:noWrap w:val="0"/>
            <w:vAlign w:val="center"/>
          </w:tcPr>
          <w:p w14:paraId="44165C5C">
            <w:pPr>
              <w:jc w:val="center"/>
              <w:rPr>
                <w:rFonts w:hint="eastAsia" w:ascii="宋体" w:hAnsi="宋体" w:cs="宋体"/>
                <w:color w:val="auto"/>
                <w:szCs w:val="21"/>
                <w:highlight w:val="none"/>
              </w:rPr>
            </w:pPr>
            <w:r>
              <w:rPr>
                <w:rFonts w:hint="eastAsia" w:ascii="宋体" w:hAnsi="宋体" w:cs="宋体"/>
                <w:color w:val="auto"/>
                <w:szCs w:val="21"/>
                <w:highlight w:val="none"/>
              </w:rPr>
              <w:t>架线</w:t>
            </w:r>
          </w:p>
        </w:tc>
        <w:tc>
          <w:tcPr>
            <w:tcW w:w="1521" w:type="dxa"/>
            <w:noWrap w:val="0"/>
            <w:vAlign w:val="center"/>
          </w:tcPr>
          <w:p w14:paraId="10B2B754">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512069B2">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29FD99E5">
            <w:pPr>
              <w:jc w:val="center"/>
              <w:rPr>
                <w:rFonts w:hint="eastAsia" w:ascii="宋体" w:hAnsi="宋体" w:cs="宋体"/>
                <w:color w:val="auto"/>
                <w:szCs w:val="21"/>
                <w:highlight w:val="none"/>
              </w:rPr>
            </w:pPr>
          </w:p>
        </w:tc>
      </w:tr>
      <w:tr w14:paraId="47FD5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4884FB98">
            <w:pPr>
              <w:jc w:val="center"/>
              <w:rPr>
                <w:rFonts w:hint="eastAsia" w:ascii="宋体" w:hAnsi="宋体" w:cs="宋体"/>
                <w:color w:val="auto"/>
                <w:szCs w:val="21"/>
                <w:highlight w:val="none"/>
              </w:rPr>
            </w:pPr>
          </w:p>
        </w:tc>
        <w:tc>
          <w:tcPr>
            <w:tcW w:w="1620" w:type="dxa"/>
            <w:vMerge w:val="continue"/>
            <w:noWrap w:val="0"/>
            <w:vAlign w:val="center"/>
          </w:tcPr>
          <w:p w14:paraId="1E2AB6D5">
            <w:pPr>
              <w:jc w:val="center"/>
              <w:rPr>
                <w:rFonts w:hint="eastAsia" w:ascii="宋体" w:hAnsi="宋体" w:cs="宋体"/>
                <w:color w:val="auto"/>
                <w:szCs w:val="21"/>
                <w:highlight w:val="none"/>
              </w:rPr>
            </w:pPr>
          </w:p>
        </w:tc>
        <w:tc>
          <w:tcPr>
            <w:tcW w:w="1800" w:type="dxa"/>
            <w:noWrap w:val="0"/>
            <w:vAlign w:val="center"/>
          </w:tcPr>
          <w:p w14:paraId="19D60431">
            <w:pPr>
              <w:jc w:val="center"/>
              <w:rPr>
                <w:rFonts w:hint="eastAsia" w:ascii="宋体" w:hAnsi="宋体" w:cs="宋体"/>
                <w:color w:val="auto"/>
                <w:szCs w:val="21"/>
                <w:highlight w:val="none"/>
              </w:rPr>
            </w:pPr>
            <w:r>
              <w:rPr>
                <w:rFonts w:hint="eastAsia" w:ascii="宋体" w:hAnsi="宋体" w:cs="宋体"/>
                <w:color w:val="auto"/>
                <w:szCs w:val="21"/>
                <w:highlight w:val="none"/>
              </w:rPr>
              <w:t>附件安装</w:t>
            </w:r>
          </w:p>
        </w:tc>
        <w:tc>
          <w:tcPr>
            <w:tcW w:w="1521" w:type="dxa"/>
            <w:noWrap w:val="0"/>
            <w:vAlign w:val="center"/>
          </w:tcPr>
          <w:p w14:paraId="0FA15F0B">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72BB4E6C">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098EA1C1">
            <w:pPr>
              <w:jc w:val="center"/>
              <w:rPr>
                <w:rFonts w:hint="eastAsia" w:ascii="宋体" w:hAnsi="宋体" w:cs="宋体"/>
                <w:color w:val="auto"/>
                <w:szCs w:val="21"/>
                <w:highlight w:val="none"/>
              </w:rPr>
            </w:pPr>
          </w:p>
        </w:tc>
      </w:tr>
      <w:tr w14:paraId="4E66F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14:paraId="3BCD4F0D">
            <w:pPr>
              <w:jc w:val="center"/>
              <w:rPr>
                <w:rFonts w:hint="eastAsia" w:ascii="宋体" w:hAnsi="宋体" w:cs="宋体"/>
                <w:color w:val="auto"/>
                <w:szCs w:val="21"/>
                <w:highlight w:val="none"/>
              </w:rPr>
            </w:pPr>
            <w:r>
              <w:rPr>
                <w:rFonts w:hint="eastAsia" w:ascii="宋体" w:hAnsi="宋体" w:cs="宋体"/>
                <w:color w:val="auto"/>
                <w:szCs w:val="21"/>
                <w:highlight w:val="none"/>
              </w:rPr>
              <w:t>1.1.3</w:t>
            </w:r>
          </w:p>
        </w:tc>
        <w:tc>
          <w:tcPr>
            <w:tcW w:w="1620" w:type="dxa"/>
            <w:vMerge w:val="restart"/>
            <w:noWrap w:val="0"/>
            <w:vAlign w:val="center"/>
          </w:tcPr>
          <w:p w14:paraId="259DA0B8">
            <w:pPr>
              <w:jc w:val="center"/>
              <w:rPr>
                <w:rFonts w:hint="eastAsia" w:ascii="宋体" w:hAnsi="宋体" w:cs="宋体"/>
                <w:color w:val="auto"/>
                <w:szCs w:val="21"/>
                <w:highlight w:val="none"/>
              </w:rPr>
            </w:pPr>
            <w:r>
              <w:rPr>
                <w:rFonts w:hint="eastAsia" w:ascii="宋体" w:hAnsi="宋体" w:cs="宋体"/>
                <w:color w:val="auto"/>
                <w:szCs w:val="21"/>
                <w:highlight w:val="none"/>
              </w:rPr>
              <w:t>电缆工程</w:t>
            </w:r>
          </w:p>
        </w:tc>
        <w:tc>
          <w:tcPr>
            <w:tcW w:w="1800" w:type="dxa"/>
            <w:noWrap w:val="0"/>
            <w:vAlign w:val="center"/>
          </w:tcPr>
          <w:p w14:paraId="4C5681FC">
            <w:pPr>
              <w:jc w:val="center"/>
              <w:rPr>
                <w:rFonts w:hint="eastAsia" w:ascii="宋体" w:hAnsi="宋体" w:cs="宋体"/>
                <w:color w:val="auto"/>
                <w:szCs w:val="21"/>
                <w:highlight w:val="none"/>
              </w:rPr>
            </w:pPr>
            <w:r>
              <w:rPr>
                <w:rFonts w:hint="eastAsia" w:ascii="宋体" w:hAnsi="宋体" w:cs="宋体"/>
                <w:color w:val="auto"/>
                <w:szCs w:val="21"/>
                <w:highlight w:val="none"/>
              </w:rPr>
              <w:t>电缆敷设</w:t>
            </w:r>
          </w:p>
        </w:tc>
        <w:tc>
          <w:tcPr>
            <w:tcW w:w="1521" w:type="dxa"/>
            <w:noWrap w:val="0"/>
            <w:vAlign w:val="center"/>
          </w:tcPr>
          <w:p w14:paraId="612DB87A">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16D7221E">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241C31B4">
            <w:pPr>
              <w:jc w:val="center"/>
              <w:rPr>
                <w:rFonts w:hint="eastAsia" w:ascii="宋体" w:hAnsi="宋体" w:cs="宋体"/>
                <w:color w:val="auto"/>
                <w:szCs w:val="21"/>
                <w:highlight w:val="none"/>
              </w:rPr>
            </w:pPr>
          </w:p>
        </w:tc>
      </w:tr>
      <w:tr w14:paraId="6BA19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350539CE">
            <w:pPr>
              <w:jc w:val="center"/>
              <w:rPr>
                <w:rFonts w:hint="eastAsia" w:ascii="宋体" w:hAnsi="宋体" w:cs="宋体"/>
                <w:color w:val="auto"/>
                <w:szCs w:val="21"/>
                <w:highlight w:val="none"/>
              </w:rPr>
            </w:pPr>
          </w:p>
        </w:tc>
        <w:tc>
          <w:tcPr>
            <w:tcW w:w="1620" w:type="dxa"/>
            <w:vMerge w:val="continue"/>
            <w:noWrap w:val="0"/>
            <w:vAlign w:val="center"/>
          </w:tcPr>
          <w:p w14:paraId="127BE8E7">
            <w:pPr>
              <w:jc w:val="center"/>
              <w:rPr>
                <w:rFonts w:hint="eastAsia" w:ascii="宋体" w:hAnsi="宋体" w:cs="宋体"/>
                <w:color w:val="auto"/>
                <w:szCs w:val="21"/>
                <w:highlight w:val="none"/>
              </w:rPr>
            </w:pPr>
          </w:p>
        </w:tc>
        <w:tc>
          <w:tcPr>
            <w:tcW w:w="1800" w:type="dxa"/>
            <w:noWrap w:val="0"/>
            <w:vAlign w:val="center"/>
          </w:tcPr>
          <w:p w14:paraId="3119CC50">
            <w:pPr>
              <w:jc w:val="center"/>
              <w:rPr>
                <w:rFonts w:hint="eastAsia" w:ascii="宋体" w:hAnsi="宋体" w:cs="宋体"/>
                <w:color w:val="auto"/>
                <w:szCs w:val="21"/>
                <w:highlight w:val="none"/>
              </w:rPr>
            </w:pPr>
            <w:r>
              <w:rPr>
                <w:rFonts w:hint="eastAsia" w:ascii="宋体" w:hAnsi="宋体" w:cs="宋体"/>
                <w:color w:val="auto"/>
                <w:szCs w:val="21"/>
                <w:highlight w:val="none"/>
              </w:rPr>
              <w:t>电缆头制作安装</w:t>
            </w:r>
          </w:p>
        </w:tc>
        <w:tc>
          <w:tcPr>
            <w:tcW w:w="1521" w:type="dxa"/>
            <w:noWrap w:val="0"/>
            <w:vAlign w:val="center"/>
          </w:tcPr>
          <w:p w14:paraId="301A2F61">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656D7889">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28CC2CD9">
            <w:pPr>
              <w:jc w:val="center"/>
              <w:rPr>
                <w:rFonts w:hint="eastAsia" w:ascii="宋体" w:hAnsi="宋体" w:cs="宋体"/>
                <w:color w:val="auto"/>
                <w:szCs w:val="21"/>
                <w:highlight w:val="none"/>
              </w:rPr>
            </w:pPr>
          </w:p>
        </w:tc>
      </w:tr>
      <w:tr w14:paraId="5426D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1C02967D">
            <w:pPr>
              <w:jc w:val="center"/>
              <w:rPr>
                <w:rFonts w:hint="eastAsia" w:ascii="宋体" w:hAnsi="宋体" w:cs="宋体"/>
                <w:color w:val="auto"/>
                <w:szCs w:val="21"/>
                <w:highlight w:val="none"/>
              </w:rPr>
            </w:pPr>
          </w:p>
        </w:tc>
        <w:tc>
          <w:tcPr>
            <w:tcW w:w="1620" w:type="dxa"/>
            <w:vMerge w:val="continue"/>
            <w:noWrap w:val="0"/>
            <w:vAlign w:val="center"/>
          </w:tcPr>
          <w:p w14:paraId="28269365">
            <w:pPr>
              <w:jc w:val="center"/>
              <w:rPr>
                <w:rFonts w:hint="eastAsia" w:ascii="宋体" w:hAnsi="宋体" w:cs="宋体"/>
                <w:color w:val="auto"/>
                <w:szCs w:val="21"/>
                <w:highlight w:val="none"/>
              </w:rPr>
            </w:pPr>
          </w:p>
        </w:tc>
        <w:tc>
          <w:tcPr>
            <w:tcW w:w="1800" w:type="dxa"/>
            <w:noWrap w:val="0"/>
            <w:vAlign w:val="center"/>
          </w:tcPr>
          <w:p w14:paraId="60880F4B">
            <w:pPr>
              <w:jc w:val="center"/>
              <w:rPr>
                <w:rFonts w:hint="eastAsia" w:ascii="宋体" w:hAnsi="宋体" w:cs="宋体"/>
                <w:color w:val="auto"/>
                <w:szCs w:val="21"/>
                <w:highlight w:val="none"/>
              </w:rPr>
            </w:pPr>
            <w:r>
              <w:rPr>
                <w:rFonts w:hint="eastAsia" w:ascii="宋体" w:hAnsi="宋体" w:cs="宋体"/>
                <w:color w:val="auto"/>
                <w:szCs w:val="21"/>
                <w:highlight w:val="none"/>
              </w:rPr>
              <w:t>避雷器及接地工程</w:t>
            </w:r>
          </w:p>
        </w:tc>
        <w:tc>
          <w:tcPr>
            <w:tcW w:w="1521" w:type="dxa"/>
            <w:noWrap w:val="0"/>
            <w:vAlign w:val="center"/>
          </w:tcPr>
          <w:p w14:paraId="33AF1DAE">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2B610B7A">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4FAB53B8">
            <w:pPr>
              <w:jc w:val="center"/>
              <w:rPr>
                <w:rFonts w:hint="eastAsia" w:ascii="宋体" w:hAnsi="宋体" w:cs="宋体"/>
                <w:color w:val="auto"/>
                <w:szCs w:val="21"/>
                <w:highlight w:val="none"/>
              </w:rPr>
            </w:pPr>
          </w:p>
        </w:tc>
      </w:tr>
      <w:tr w14:paraId="4EF5D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6CD1FEBC">
            <w:pPr>
              <w:jc w:val="center"/>
              <w:rPr>
                <w:rFonts w:hint="eastAsia" w:ascii="宋体" w:hAnsi="宋体" w:cs="宋体"/>
                <w:color w:val="auto"/>
                <w:szCs w:val="21"/>
                <w:highlight w:val="none"/>
              </w:rPr>
            </w:pPr>
          </w:p>
        </w:tc>
        <w:tc>
          <w:tcPr>
            <w:tcW w:w="1620" w:type="dxa"/>
            <w:vMerge w:val="continue"/>
            <w:noWrap w:val="0"/>
            <w:vAlign w:val="center"/>
          </w:tcPr>
          <w:p w14:paraId="7823A7BE">
            <w:pPr>
              <w:jc w:val="center"/>
              <w:rPr>
                <w:rFonts w:hint="eastAsia" w:ascii="宋体" w:hAnsi="宋体" w:cs="宋体"/>
                <w:color w:val="auto"/>
                <w:szCs w:val="21"/>
                <w:highlight w:val="none"/>
              </w:rPr>
            </w:pPr>
          </w:p>
        </w:tc>
        <w:tc>
          <w:tcPr>
            <w:tcW w:w="1800" w:type="dxa"/>
            <w:noWrap w:val="0"/>
            <w:vAlign w:val="center"/>
          </w:tcPr>
          <w:p w14:paraId="4529A255">
            <w:pPr>
              <w:jc w:val="center"/>
              <w:rPr>
                <w:rFonts w:hint="eastAsia" w:ascii="宋体" w:hAnsi="宋体" w:cs="宋体"/>
                <w:color w:val="auto"/>
                <w:szCs w:val="21"/>
                <w:highlight w:val="none"/>
              </w:rPr>
            </w:pPr>
            <w:r>
              <w:rPr>
                <w:rFonts w:hint="eastAsia" w:ascii="宋体" w:hAnsi="宋体" w:cs="宋体"/>
                <w:color w:val="auto"/>
                <w:szCs w:val="21"/>
                <w:highlight w:val="none"/>
              </w:rPr>
              <w:t>两端工程</w:t>
            </w:r>
          </w:p>
        </w:tc>
        <w:tc>
          <w:tcPr>
            <w:tcW w:w="1521" w:type="dxa"/>
            <w:noWrap w:val="0"/>
            <w:vAlign w:val="center"/>
          </w:tcPr>
          <w:p w14:paraId="75291C10">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25D24BBF">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6800FC09">
            <w:pPr>
              <w:jc w:val="center"/>
              <w:rPr>
                <w:rFonts w:hint="eastAsia" w:ascii="宋体" w:hAnsi="宋体" w:cs="宋体"/>
                <w:color w:val="auto"/>
                <w:szCs w:val="21"/>
                <w:highlight w:val="none"/>
              </w:rPr>
            </w:pPr>
          </w:p>
        </w:tc>
      </w:tr>
      <w:tr w14:paraId="69FC6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0A26F44C">
            <w:pPr>
              <w:jc w:val="center"/>
              <w:rPr>
                <w:rFonts w:hint="eastAsia" w:ascii="宋体" w:hAnsi="宋体" w:cs="宋体"/>
                <w:color w:val="auto"/>
                <w:szCs w:val="21"/>
                <w:highlight w:val="none"/>
              </w:rPr>
            </w:pPr>
          </w:p>
        </w:tc>
        <w:tc>
          <w:tcPr>
            <w:tcW w:w="1620" w:type="dxa"/>
            <w:vMerge w:val="continue"/>
            <w:noWrap w:val="0"/>
            <w:vAlign w:val="center"/>
          </w:tcPr>
          <w:p w14:paraId="0F9F9A0E">
            <w:pPr>
              <w:jc w:val="center"/>
              <w:rPr>
                <w:rFonts w:hint="eastAsia" w:ascii="宋体" w:hAnsi="宋体" w:cs="宋体"/>
                <w:color w:val="auto"/>
                <w:szCs w:val="21"/>
                <w:highlight w:val="none"/>
              </w:rPr>
            </w:pPr>
          </w:p>
        </w:tc>
        <w:tc>
          <w:tcPr>
            <w:tcW w:w="1800" w:type="dxa"/>
            <w:noWrap w:val="0"/>
            <w:vAlign w:val="center"/>
          </w:tcPr>
          <w:p w14:paraId="255D9E89">
            <w:pPr>
              <w:jc w:val="center"/>
              <w:rPr>
                <w:rFonts w:hint="eastAsia" w:ascii="宋体" w:hAnsi="宋体" w:cs="宋体"/>
                <w:color w:val="auto"/>
                <w:szCs w:val="21"/>
                <w:highlight w:val="none"/>
              </w:rPr>
            </w:pPr>
            <w:r>
              <w:rPr>
                <w:rFonts w:hint="eastAsia" w:ascii="宋体" w:hAnsi="宋体" w:cs="宋体"/>
                <w:color w:val="auto"/>
                <w:szCs w:val="21"/>
                <w:highlight w:val="none"/>
              </w:rPr>
              <w:t>电缆常规试验</w:t>
            </w:r>
          </w:p>
        </w:tc>
        <w:tc>
          <w:tcPr>
            <w:tcW w:w="1521" w:type="dxa"/>
            <w:noWrap w:val="0"/>
            <w:vAlign w:val="center"/>
          </w:tcPr>
          <w:p w14:paraId="6A891689">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3284290B">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60F0C033">
            <w:pPr>
              <w:jc w:val="center"/>
              <w:rPr>
                <w:rFonts w:hint="eastAsia" w:ascii="宋体" w:hAnsi="宋体" w:cs="宋体"/>
                <w:color w:val="auto"/>
                <w:szCs w:val="21"/>
                <w:highlight w:val="none"/>
              </w:rPr>
            </w:pPr>
          </w:p>
        </w:tc>
      </w:tr>
      <w:tr w14:paraId="54F7B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noWrap w:val="0"/>
            <w:vAlign w:val="center"/>
          </w:tcPr>
          <w:p w14:paraId="190EA0BC">
            <w:pPr>
              <w:jc w:val="center"/>
              <w:rPr>
                <w:rFonts w:hint="eastAsia" w:ascii="宋体" w:hAnsi="宋体" w:cs="宋体"/>
                <w:b/>
                <w:color w:val="auto"/>
                <w:szCs w:val="21"/>
                <w:highlight w:val="none"/>
              </w:rPr>
            </w:pPr>
            <w:r>
              <w:rPr>
                <w:rFonts w:hint="eastAsia" w:ascii="宋体" w:hAnsi="宋体" w:cs="宋体"/>
                <w:b/>
                <w:color w:val="auto"/>
                <w:szCs w:val="21"/>
                <w:highlight w:val="none"/>
              </w:rPr>
              <w:t>1.2</w:t>
            </w:r>
          </w:p>
        </w:tc>
        <w:tc>
          <w:tcPr>
            <w:tcW w:w="1620" w:type="dxa"/>
            <w:noWrap w:val="0"/>
            <w:vAlign w:val="center"/>
          </w:tcPr>
          <w:p w14:paraId="56222701">
            <w:pPr>
              <w:jc w:val="center"/>
              <w:rPr>
                <w:rFonts w:hint="eastAsia" w:ascii="宋体" w:hAnsi="宋体" w:cs="宋体"/>
                <w:b/>
                <w:color w:val="auto"/>
                <w:szCs w:val="21"/>
                <w:highlight w:val="none"/>
              </w:rPr>
            </w:pPr>
            <w:r>
              <w:rPr>
                <w:rFonts w:hint="eastAsia" w:ascii="宋体" w:hAnsi="宋体" w:cs="宋体"/>
                <w:b/>
                <w:color w:val="auto"/>
                <w:szCs w:val="21"/>
                <w:highlight w:val="none"/>
              </w:rPr>
              <w:t>非主体工程</w:t>
            </w:r>
          </w:p>
        </w:tc>
        <w:tc>
          <w:tcPr>
            <w:tcW w:w="1800" w:type="dxa"/>
            <w:noWrap w:val="0"/>
            <w:vAlign w:val="center"/>
          </w:tcPr>
          <w:p w14:paraId="6930AC72">
            <w:pPr>
              <w:jc w:val="center"/>
              <w:rPr>
                <w:rFonts w:hint="eastAsia" w:ascii="宋体" w:hAnsi="宋体" w:cs="宋体"/>
                <w:color w:val="auto"/>
                <w:szCs w:val="21"/>
                <w:highlight w:val="none"/>
              </w:rPr>
            </w:pPr>
          </w:p>
        </w:tc>
        <w:tc>
          <w:tcPr>
            <w:tcW w:w="1521" w:type="dxa"/>
            <w:noWrap w:val="0"/>
            <w:vAlign w:val="center"/>
          </w:tcPr>
          <w:p w14:paraId="5F4DB1FC">
            <w:pPr>
              <w:jc w:val="center"/>
              <w:rPr>
                <w:rFonts w:hint="eastAsia" w:ascii="宋体" w:hAnsi="宋体" w:cs="宋体"/>
                <w:color w:val="auto"/>
                <w:szCs w:val="21"/>
                <w:highlight w:val="none"/>
              </w:rPr>
            </w:pPr>
          </w:p>
        </w:tc>
        <w:tc>
          <w:tcPr>
            <w:tcW w:w="1528" w:type="dxa"/>
            <w:noWrap w:val="0"/>
            <w:vAlign w:val="center"/>
          </w:tcPr>
          <w:p w14:paraId="4D76E3C4">
            <w:pPr>
              <w:jc w:val="center"/>
              <w:rPr>
                <w:rFonts w:hint="eastAsia" w:ascii="宋体" w:hAnsi="宋体" w:cs="宋体"/>
                <w:color w:val="auto"/>
                <w:szCs w:val="21"/>
                <w:highlight w:val="none"/>
              </w:rPr>
            </w:pPr>
          </w:p>
        </w:tc>
        <w:tc>
          <w:tcPr>
            <w:tcW w:w="1460" w:type="dxa"/>
            <w:noWrap w:val="0"/>
            <w:vAlign w:val="center"/>
          </w:tcPr>
          <w:p w14:paraId="510D89ED">
            <w:pPr>
              <w:jc w:val="center"/>
              <w:rPr>
                <w:rFonts w:hint="eastAsia" w:ascii="宋体" w:hAnsi="宋体" w:cs="宋体"/>
                <w:color w:val="auto"/>
                <w:szCs w:val="21"/>
                <w:highlight w:val="none"/>
              </w:rPr>
            </w:pPr>
          </w:p>
        </w:tc>
      </w:tr>
      <w:tr w14:paraId="18C25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99" w:type="dxa"/>
            <w:vMerge w:val="restart"/>
            <w:noWrap w:val="0"/>
            <w:vAlign w:val="center"/>
          </w:tcPr>
          <w:p w14:paraId="1C76DFB1">
            <w:pPr>
              <w:jc w:val="center"/>
              <w:rPr>
                <w:rFonts w:hint="eastAsia" w:ascii="宋体" w:hAnsi="宋体" w:cs="宋体"/>
                <w:color w:val="auto"/>
                <w:szCs w:val="21"/>
                <w:highlight w:val="none"/>
              </w:rPr>
            </w:pPr>
            <w:r>
              <w:rPr>
                <w:rFonts w:hint="eastAsia" w:ascii="宋体" w:hAnsi="宋体" w:cs="宋体"/>
                <w:color w:val="auto"/>
                <w:szCs w:val="21"/>
                <w:highlight w:val="none"/>
              </w:rPr>
              <w:t>1.2.1</w:t>
            </w:r>
          </w:p>
        </w:tc>
        <w:tc>
          <w:tcPr>
            <w:tcW w:w="1620" w:type="dxa"/>
            <w:vMerge w:val="restart"/>
            <w:noWrap w:val="0"/>
            <w:vAlign w:val="center"/>
          </w:tcPr>
          <w:p w14:paraId="09FEF12F">
            <w:pPr>
              <w:jc w:val="center"/>
              <w:rPr>
                <w:rFonts w:hint="eastAsia" w:ascii="宋体" w:hAnsi="宋体" w:cs="宋体"/>
                <w:color w:val="auto"/>
                <w:szCs w:val="21"/>
                <w:highlight w:val="none"/>
              </w:rPr>
            </w:pPr>
            <w:r>
              <w:rPr>
                <w:rFonts w:hint="eastAsia" w:ascii="宋体" w:hAnsi="宋体" w:cs="宋体"/>
                <w:color w:val="auto"/>
                <w:szCs w:val="21"/>
                <w:highlight w:val="none"/>
              </w:rPr>
              <w:t>变电站工程</w:t>
            </w:r>
          </w:p>
        </w:tc>
        <w:tc>
          <w:tcPr>
            <w:tcW w:w="1800" w:type="dxa"/>
            <w:noWrap w:val="0"/>
            <w:vAlign w:val="center"/>
          </w:tcPr>
          <w:p w14:paraId="080573FB">
            <w:pPr>
              <w:jc w:val="center"/>
              <w:rPr>
                <w:rFonts w:hint="eastAsia" w:ascii="宋体" w:hAnsi="宋体" w:cs="宋体"/>
                <w:color w:val="auto"/>
                <w:szCs w:val="21"/>
                <w:highlight w:val="none"/>
              </w:rPr>
            </w:pPr>
            <w:r>
              <w:rPr>
                <w:rFonts w:hint="eastAsia" w:ascii="宋体" w:hAnsi="宋体" w:cs="宋体"/>
                <w:color w:val="auto"/>
                <w:szCs w:val="21"/>
                <w:highlight w:val="none"/>
              </w:rPr>
              <w:t>特殊调试</w:t>
            </w:r>
          </w:p>
        </w:tc>
        <w:tc>
          <w:tcPr>
            <w:tcW w:w="1521" w:type="dxa"/>
            <w:noWrap w:val="0"/>
            <w:vAlign w:val="center"/>
          </w:tcPr>
          <w:p w14:paraId="1F1CECE5">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791C2709">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24A40346">
            <w:pPr>
              <w:jc w:val="center"/>
              <w:rPr>
                <w:rFonts w:hint="eastAsia" w:ascii="宋体" w:hAnsi="宋体" w:cs="宋体"/>
                <w:color w:val="auto"/>
                <w:szCs w:val="21"/>
                <w:highlight w:val="none"/>
              </w:rPr>
            </w:pPr>
          </w:p>
        </w:tc>
      </w:tr>
      <w:tr w14:paraId="33EB2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99" w:type="dxa"/>
            <w:vMerge w:val="continue"/>
            <w:noWrap w:val="0"/>
            <w:vAlign w:val="center"/>
          </w:tcPr>
          <w:p w14:paraId="78A40184">
            <w:pPr>
              <w:jc w:val="center"/>
              <w:rPr>
                <w:rFonts w:hint="eastAsia" w:ascii="宋体" w:hAnsi="宋体" w:cs="宋体"/>
                <w:color w:val="auto"/>
                <w:szCs w:val="21"/>
                <w:highlight w:val="none"/>
              </w:rPr>
            </w:pPr>
          </w:p>
        </w:tc>
        <w:tc>
          <w:tcPr>
            <w:tcW w:w="1620" w:type="dxa"/>
            <w:vMerge w:val="continue"/>
            <w:noWrap w:val="0"/>
            <w:vAlign w:val="center"/>
          </w:tcPr>
          <w:p w14:paraId="61A378A1">
            <w:pPr>
              <w:jc w:val="center"/>
              <w:rPr>
                <w:rFonts w:hint="eastAsia" w:ascii="宋体" w:hAnsi="宋体" w:cs="宋体"/>
                <w:color w:val="auto"/>
                <w:szCs w:val="21"/>
                <w:highlight w:val="none"/>
              </w:rPr>
            </w:pPr>
          </w:p>
        </w:tc>
        <w:tc>
          <w:tcPr>
            <w:tcW w:w="1800" w:type="dxa"/>
            <w:noWrap w:val="0"/>
            <w:vAlign w:val="center"/>
          </w:tcPr>
          <w:p w14:paraId="1FDAD802">
            <w:pPr>
              <w:jc w:val="center"/>
              <w:rPr>
                <w:rFonts w:hint="eastAsia" w:ascii="宋体" w:hAnsi="宋体" w:cs="宋体"/>
                <w:color w:val="auto"/>
                <w:szCs w:val="21"/>
                <w:highlight w:val="none"/>
              </w:rPr>
            </w:pPr>
            <w:r>
              <w:rPr>
                <w:rFonts w:hint="eastAsia" w:ascii="宋体" w:hAnsi="宋体" w:cs="宋体"/>
                <w:color w:val="auto"/>
                <w:szCs w:val="21"/>
                <w:highlight w:val="none"/>
              </w:rPr>
              <w:t>土建</w:t>
            </w:r>
          </w:p>
        </w:tc>
        <w:tc>
          <w:tcPr>
            <w:tcW w:w="1521" w:type="dxa"/>
            <w:noWrap w:val="0"/>
            <w:vAlign w:val="center"/>
          </w:tcPr>
          <w:p w14:paraId="49073755">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713C1E66">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0BFB37D4">
            <w:pPr>
              <w:jc w:val="center"/>
              <w:rPr>
                <w:rFonts w:hint="eastAsia" w:ascii="宋体" w:hAnsi="宋体" w:cs="宋体"/>
                <w:color w:val="auto"/>
                <w:szCs w:val="21"/>
                <w:highlight w:val="none"/>
              </w:rPr>
            </w:pPr>
            <w:r>
              <w:rPr>
                <w:rFonts w:hint="eastAsia" w:ascii="宋体" w:hAnsi="宋体" w:cs="宋体"/>
                <w:color w:val="auto"/>
                <w:szCs w:val="21"/>
                <w:highlight w:val="none"/>
              </w:rPr>
              <w:t>含桩基础施工、防火封堵、进站道路、顶管等</w:t>
            </w:r>
          </w:p>
        </w:tc>
      </w:tr>
      <w:tr w14:paraId="2C706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01605B8A">
            <w:pPr>
              <w:jc w:val="center"/>
              <w:rPr>
                <w:rFonts w:hint="eastAsia" w:ascii="宋体" w:hAnsi="宋体" w:cs="宋体"/>
                <w:color w:val="auto"/>
                <w:szCs w:val="21"/>
                <w:highlight w:val="none"/>
              </w:rPr>
            </w:pPr>
          </w:p>
        </w:tc>
        <w:tc>
          <w:tcPr>
            <w:tcW w:w="1620" w:type="dxa"/>
            <w:vMerge w:val="continue"/>
            <w:noWrap w:val="0"/>
            <w:vAlign w:val="center"/>
          </w:tcPr>
          <w:p w14:paraId="5070A36B">
            <w:pPr>
              <w:jc w:val="center"/>
              <w:rPr>
                <w:rFonts w:hint="eastAsia" w:ascii="宋体" w:hAnsi="宋体" w:cs="宋体"/>
                <w:color w:val="auto"/>
                <w:szCs w:val="21"/>
                <w:highlight w:val="none"/>
              </w:rPr>
            </w:pPr>
          </w:p>
        </w:tc>
        <w:tc>
          <w:tcPr>
            <w:tcW w:w="1800" w:type="dxa"/>
            <w:noWrap w:val="0"/>
            <w:vAlign w:val="center"/>
          </w:tcPr>
          <w:p w14:paraId="5DA4CBB0">
            <w:pPr>
              <w:jc w:val="center"/>
              <w:rPr>
                <w:rFonts w:hint="eastAsia" w:ascii="宋体" w:hAnsi="宋体" w:cs="宋体"/>
                <w:color w:val="auto"/>
                <w:szCs w:val="21"/>
                <w:highlight w:val="none"/>
              </w:rPr>
            </w:pPr>
            <w:r>
              <w:rPr>
                <w:rFonts w:hint="eastAsia" w:ascii="宋体" w:hAnsi="宋体" w:cs="宋体"/>
                <w:color w:val="auto"/>
                <w:szCs w:val="21"/>
                <w:highlight w:val="none"/>
              </w:rPr>
              <w:t>特种设备安装</w:t>
            </w:r>
          </w:p>
        </w:tc>
        <w:tc>
          <w:tcPr>
            <w:tcW w:w="1521" w:type="dxa"/>
            <w:noWrap w:val="0"/>
            <w:vAlign w:val="center"/>
          </w:tcPr>
          <w:p w14:paraId="7909CB33">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2BE696BA">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44186ED7">
            <w:pPr>
              <w:jc w:val="center"/>
              <w:rPr>
                <w:rFonts w:hint="eastAsia" w:ascii="宋体" w:hAnsi="宋体" w:cs="宋体"/>
                <w:color w:val="auto"/>
                <w:szCs w:val="21"/>
                <w:highlight w:val="none"/>
              </w:rPr>
            </w:pPr>
            <w:r>
              <w:rPr>
                <w:rFonts w:hint="eastAsia" w:ascii="宋体" w:hAnsi="宋体" w:cs="宋体"/>
                <w:color w:val="auto"/>
                <w:szCs w:val="21"/>
                <w:highlight w:val="none"/>
              </w:rPr>
              <w:t>含电梯、天车等</w:t>
            </w:r>
          </w:p>
        </w:tc>
      </w:tr>
      <w:tr w14:paraId="06AEE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99" w:type="dxa"/>
            <w:vMerge w:val="continue"/>
            <w:noWrap w:val="0"/>
            <w:vAlign w:val="center"/>
          </w:tcPr>
          <w:p w14:paraId="109E146C">
            <w:pPr>
              <w:jc w:val="center"/>
              <w:rPr>
                <w:rFonts w:hint="eastAsia" w:ascii="宋体" w:hAnsi="宋体" w:cs="宋体"/>
                <w:color w:val="auto"/>
                <w:szCs w:val="21"/>
                <w:highlight w:val="none"/>
              </w:rPr>
            </w:pPr>
          </w:p>
        </w:tc>
        <w:tc>
          <w:tcPr>
            <w:tcW w:w="1620" w:type="dxa"/>
            <w:vMerge w:val="continue"/>
            <w:noWrap w:val="0"/>
            <w:vAlign w:val="center"/>
          </w:tcPr>
          <w:p w14:paraId="1F719204">
            <w:pPr>
              <w:jc w:val="center"/>
              <w:rPr>
                <w:rFonts w:hint="eastAsia" w:ascii="宋体" w:hAnsi="宋体" w:cs="宋体"/>
                <w:color w:val="auto"/>
                <w:szCs w:val="21"/>
                <w:highlight w:val="none"/>
              </w:rPr>
            </w:pPr>
          </w:p>
        </w:tc>
        <w:tc>
          <w:tcPr>
            <w:tcW w:w="1800" w:type="dxa"/>
            <w:noWrap w:val="0"/>
            <w:vAlign w:val="center"/>
          </w:tcPr>
          <w:p w14:paraId="61432AFC">
            <w:pPr>
              <w:jc w:val="center"/>
              <w:rPr>
                <w:rFonts w:hint="eastAsia" w:ascii="宋体" w:hAnsi="宋体" w:cs="宋体"/>
                <w:color w:val="auto"/>
                <w:szCs w:val="21"/>
                <w:highlight w:val="none"/>
              </w:rPr>
            </w:pPr>
            <w:r>
              <w:rPr>
                <w:rFonts w:hint="eastAsia" w:ascii="宋体" w:hAnsi="宋体" w:cs="宋体"/>
                <w:color w:val="auto"/>
                <w:szCs w:val="21"/>
                <w:highlight w:val="none"/>
              </w:rPr>
              <w:t>消防</w:t>
            </w:r>
          </w:p>
        </w:tc>
        <w:tc>
          <w:tcPr>
            <w:tcW w:w="1521" w:type="dxa"/>
            <w:noWrap w:val="0"/>
            <w:vAlign w:val="center"/>
          </w:tcPr>
          <w:p w14:paraId="522D5CF9">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7E72B21C">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1391F913">
            <w:pPr>
              <w:jc w:val="center"/>
              <w:rPr>
                <w:rFonts w:hint="eastAsia" w:ascii="宋体" w:hAnsi="宋体" w:cs="宋体"/>
                <w:color w:val="auto"/>
                <w:szCs w:val="21"/>
                <w:highlight w:val="none"/>
              </w:rPr>
            </w:pPr>
          </w:p>
        </w:tc>
      </w:tr>
      <w:tr w14:paraId="2F02E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2AEC193B">
            <w:pPr>
              <w:jc w:val="center"/>
              <w:rPr>
                <w:rFonts w:hint="eastAsia" w:ascii="宋体" w:hAnsi="宋体" w:cs="宋体"/>
                <w:color w:val="auto"/>
                <w:szCs w:val="21"/>
                <w:highlight w:val="none"/>
              </w:rPr>
            </w:pPr>
          </w:p>
        </w:tc>
        <w:tc>
          <w:tcPr>
            <w:tcW w:w="1620" w:type="dxa"/>
            <w:vMerge w:val="continue"/>
            <w:noWrap w:val="0"/>
            <w:vAlign w:val="center"/>
          </w:tcPr>
          <w:p w14:paraId="09989DEE">
            <w:pPr>
              <w:jc w:val="center"/>
              <w:rPr>
                <w:rFonts w:hint="eastAsia" w:ascii="宋体" w:hAnsi="宋体" w:cs="宋体"/>
                <w:color w:val="auto"/>
                <w:szCs w:val="21"/>
                <w:highlight w:val="none"/>
              </w:rPr>
            </w:pPr>
          </w:p>
        </w:tc>
        <w:tc>
          <w:tcPr>
            <w:tcW w:w="1800" w:type="dxa"/>
            <w:noWrap w:val="0"/>
            <w:vAlign w:val="center"/>
          </w:tcPr>
          <w:p w14:paraId="1592EF9F">
            <w:pPr>
              <w:jc w:val="center"/>
              <w:rPr>
                <w:rFonts w:hint="eastAsia" w:ascii="宋体" w:hAnsi="宋体" w:cs="宋体"/>
                <w:color w:val="auto"/>
                <w:szCs w:val="21"/>
                <w:highlight w:val="none"/>
              </w:rPr>
            </w:pPr>
            <w:r>
              <w:rPr>
                <w:rFonts w:hint="eastAsia" w:ascii="宋体" w:hAnsi="宋体" w:cs="宋体"/>
                <w:color w:val="auto"/>
                <w:szCs w:val="21"/>
                <w:highlight w:val="none"/>
              </w:rPr>
              <w:t>绿化</w:t>
            </w:r>
          </w:p>
        </w:tc>
        <w:tc>
          <w:tcPr>
            <w:tcW w:w="1521" w:type="dxa"/>
            <w:noWrap w:val="0"/>
            <w:vAlign w:val="center"/>
          </w:tcPr>
          <w:p w14:paraId="790D9AB1">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6D4CA541">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2B0F818B">
            <w:pPr>
              <w:jc w:val="center"/>
              <w:rPr>
                <w:rFonts w:hint="eastAsia" w:ascii="宋体" w:hAnsi="宋体" w:cs="宋体"/>
                <w:color w:val="auto"/>
                <w:szCs w:val="21"/>
                <w:highlight w:val="none"/>
              </w:rPr>
            </w:pPr>
          </w:p>
        </w:tc>
      </w:tr>
      <w:tr w14:paraId="64F52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7FE75A6B">
            <w:pPr>
              <w:jc w:val="center"/>
              <w:rPr>
                <w:rFonts w:hint="eastAsia" w:ascii="宋体" w:hAnsi="宋体" w:cs="宋体"/>
                <w:color w:val="auto"/>
                <w:szCs w:val="21"/>
                <w:highlight w:val="none"/>
              </w:rPr>
            </w:pPr>
          </w:p>
        </w:tc>
        <w:tc>
          <w:tcPr>
            <w:tcW w:w="1620" w:type="dxa"/>
            <w:vMerge w:val="continue"/>
            <w:noWrap w:val="0"/>
            <w:vAlign w:val="center"/>
          </w:tcPr>
          <w:p w14:paraId="61CCDECE">
            <w:pPr>
              <w:jc w:val="center"/>
              <w:rPr>
                <w:rFonts w:hint="eastAsia" w:ascii="宋体" w:hAnsi="宋体" w:cs="宋体"/>
                <w:color w:val="auto"/>
                <w:szCs w:val="21"/>
                <w:highlight w:val="none"/>
              </w:rPr>
            </w:pPr>
          </w:p>
        </w:tc>
        <w:tc>
          <w:tcPr>
            <w:tcW w:w="1800" w:type="dxa"/>
            <w:noWrap w:val="0"/>
            <w:vAlign w:val="center"/>
          </w:tcPr>
          <w:p w14:paraId="34872095">
            <w:pPr>
              <w:jc w:val="center"/>
              <w:rPr>
                <w:rFonts w:hint="eastAsia" w:ascii="宋体" w:hAnsi="宋体" w:cs="宋体"/>
                <w:color w:val="auto"/>
                <w:szCs w:val="21"/>
                <w:highlight w:val="none"/>
              </w:rPr>
            </w:pPr>
            <w:r>
              <w:rPr>
                <w:rFonts w:hint="eastAsia" w:ascii="宋体" w:hAnsi="宋体" w:cs="宋体"/>
                <w:color w:val="auto"/>
                <w:szCs w:val="21"/>
                <w:highlight w:val="none"/>
              </w:rPr>
              <w:t>给排水</w:t>
            </w:r>
          </w:p>
        </w:tc>
        <w:tc>
          <w:tcPr>
            <w:tcW w:w="1521" w:type="dxa"/>
            <w:noWrap w:val="0"/>
            <w:vAlign w:val="center"/>
          </w:tcPr>
          <w:p w14:paraId="59C1253B">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746D5EA6">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63D86213">
            <w:pPr>
              <w:jc w:val="center"/>
              <w:rPr>
                <w:rFonts w:hint="eastAsia" w:ascii="宋体" w:hAnsi="宋体" w:cs="宋体"/>
                <w:color w:val="auto"/>
                <w:szCs w:val="21"/>
                <w:highlight w:val="none"/>
              </w:rPr>
            </w:pPr>
          </w:p>
        </w:tc>
      </w:tr>
      <w:tr w14:paraId="60FD2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99" w:type="dxa"/>
            <w:vMerge w:val="restart"/>
            <w:noWrap w:val="0"/>
            <w:vAlign w:val="center"/>
          </w:tcPr>
          <w:p w14:paraId="6D87AF27">
            <w:pPr>
              <w:jc w:val="center"/>
              <w:rPr>
                <w:rFonts w:hint="eastAsia" w:ascii="宋体" w:hAnsi="宋体" w:cs="宋体"/>
                <w:color w:val="auto"/>
                <w:szCs w:val="21"/>
                <w:highlight w:val="none"/>
              </w:rPr>
            </w:pPr>
            <w:r>
              <w:rPr>
                <w:rFonts w:hint="eastAsia" w:ascii="宋体" w:hAnsi="宋体" w:cs="宋体"/>
                <w:color w:val="auto"/>
                <w:szCs w:val="21"/>
                <w:highlight w:val="none"/>
              </w:rPr>
              <w:t>1.2.2</w:t>
            </w:r>
          </w:p>
        </w:tc>
        <w:tc>
          <w:tcPr>
            <w:tcW w:w="1620" w:type="dxa"/>
            <w:vMerge w:val="restart"/>
            <w:noWrap w:val="0"/>
            <w:vAlign w:val="center"/>
          </w:tcPr>
          <w:p w14:paraId="1C3683F1">
            <w:pPr>
              <w:jc w:val="center"/>
              <w:rPr>
                <w:rFonts w:hint="eastAsia" w:ascii="宋体" w:hAnsi="宋体" w:cs="宋体"/>
                <w:color w:val="auto"/>
                <w:szCs w:val="21"/>
                <w:highlight w:val="none"/>
              </w:rPr>
            </w:pPr>
            <w:r>
              <w:rPr>
                <w:rFonts w:hint="eastAsia" w:ascii="宋体" w:hAnsi="宋体" w:cs="宋体"/>
                <w:color w:val="auto"/>
                <w:szCs w:val="21"/>
                <w:highlight w:val="none"/>
              </w:rPr>
              <w:t>线路工程</w:t>
            </w:r>
          </w:p>
        </w:tc>
        <w:tc>
          <w:tcPr>
            <w:tcW w:w="1800" w:type="dxa"/>
            <w:noWrap w:val="0"/>
            <w:vAlign w:val="center"/>
          </w:tcPr>
          <w:p w14:paraId="5A6F4B06">
            <w:pPr>
              <w:jc w:val="center"/>
              <w:rPr>
                <w:rFonts w:hint="eastAsia" w:ascii="宋体" w:hAnsi="宋体" w:cs="宋体"/>
                <w:color w:val="auto"/>
                <w:szCs w:val="21"/>
                <w:highlight w:val="none"/>
              </w:rPr>
            </w:pPr>
            <w:r>
              <w:rPr>
                <w:rFonts w:hint="eastAsia" w:ascii="宋体" w:hAnsi="宋体" w:cs="宋体"/>
                <w:color w:val="auto"/>
                <w:szCs w:val="21"/>
                <w:highlight w:val="none"/>
              </w:rPr>
              <w:t>核相、线路参数测试</w:t>
            </w:r>
          </w:p>
        </w:tc>
        <w:tc>
          <w:tcPr>
            <w:tcW w:w="1521" w:type="dxa"/>
            <w:noWrap w:val="0"/>
            <w:vAlign w:val="center"/>
          </w:tcPr>
          <w:p w14:paraId="2B403539">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0B5C2C67">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1181CBDD">
            <w:pPr>
              <w:jc w:val="center"/>
              <w:rPr>
                <w:rFonts w:hint="eastAsia" w:ascii="宋体" w:hAnsi="宋体" w:cs="宋体"/>
                <w:color w:val="auto"/>
                <w:szCs w:val="21"/>
                <w:highlight w:val="none"/>
              </w:rPr>
            </w:pPr>
          </w:p>
        </w:tc>
      </w:tr>
      <w:tr w14:paraId="418A1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0806FD43">
            <w:pPr>
              <w:jc w:val="center"/>
              <w:rPr>
                <w:rFonts w:hint="eastAsia" w:ascii="宋体" w:hAnsi="宋体" w:cs="宋体"/>
                <w:color w:val="auto"/>
                <w:szCs w:val="21"/>
                <w:highlight w:val="none"/>
              </w:rPr>
            </w:pPr>
          </w:p>
        </w:tc>
        <w:tc>
          <w:tcPr>
            <w:tcW w:w="1620" w:type="dxa"/>
            <w:vMerge w:val="continue"/>
            <w:noWrap w:val="0"/>
            <w:vAlign w:val="center"/>
          </w:tcPr>
          <w:p w14:paraId="59A1778F">
            <w:pPr>
              <w:jc w:val="center"/>
              <w:rPr>
                <w:rFonts w:hint="eastAsia" w:ascii="宋体" w:hAnsi="宋体" w:cs="宋体"/>
                <w:color w:val="auto"/>
                <w:szCs w:val="21"/>
                <w:highlight w:val="none"/>
              </w:rPr>
            </w:pPr>
          </w:p>
        </w:tc>
        <w:tc>
          <w:tcPr>
            <w:tcW w:w="1800" w:type="dxa"/>
            <w:noWrap w:val="0"/>
            <w:vAlign w:val="center"/>
          </w:tcPr>
          <w:p w14:paraId="2438F073">
            <w:pPr>
              <w:jc w:val="center"/>
              <w:rPr>
                <w:rFonts w:hint="eastAsia" w:ascii="宋体" w:hAnsi="宋体" w:cs="宋体"/>
                <w:color w:val="auto"/>
                <w:szCs w:val="21"/>
                <w:highlight w:val="none"/>
              </w:rPr>
            </w:pPr>
            <w:r>
              <w:rPr>
                <w:rFonts w:hint="eastAsia" w:ascii="宋体" w:hAnsi="宋体" w:cs="宋体"/>
                <w:color w:val="auto"/>
                <w:szCs w:val="21"/>
                <w:highlight w:val="none"/>
              </w:rPr>
              <w:t>土石方工程</w:t>
            </w:r>
          </w:p>
        </w:tc>
        <w:tc>
          <w:tcPr>
            <w:tcW w:w="1521" w:type="dxa"/>
            <w:noWrap w:val="0"/>
            <w:vAlign w:val="center"/>
          </w:tcPr>
          <w:p w14:paraId="266D551B">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0A6EAAF4">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vMerge w:val="restart"/>
            <w:noWrap w:val="0"/>
            <w:vAlign w:val="center"/>
          </w:tcPr>
          <w:p w14:paraId="67A9EC8A">
            <w:pPr>
              <w:jc w:val="center"/>
              <w:rPr>
                <w:rFonts w:hint="eastAsia" w:ascii="宋体" w:hAnsi="宋体" w:cs="宋体"/>
                <w:color w:val="auto"/>
                <w:szCs w:val="21"/>
                <w:highlight w:val="none"/>
              </w:rPr>
            </w:pPr>
            <w:r>
              <w:rPr>
                <w:rFonts w:hint="eastAsia" w:ascii="宋体" w:hAnsi="宋体" w:cs="宋体"/>
                <w:color w:val="auto"/>
                <w:szCs w:val="21"/>
                <w:highlight w:val="none"/>
              </w:rPr>
              <w:t>含工地运输</w:t>
            </w:r>
          </w:p>
        </w:tc>
      </w:tr>
      <w:tr w14:paraId="7C857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01F7E4B8">
            <w:pPr>
              <w:jc w:val="center"/>
              <w:rPr>
                <w:rFonts w:hint="eastAsia" w:ascii="宋体" w:hAnsi="宋体" w:cs="宋体"/>
                <w:color w:val="auto"/>
                <w:szCs w:val="21"/>
                <w:highlight w:val="none"/>
              </w:rPr>
            </w:pPr>
          </w:p>
        </w:tc>
        <w:tc>
          <w:tcPr>
            <w:tcW w:w="1620" w:type="dxa"/>
            <w:vMerge w:val="continue"/>
            <w:noWrap w:val="0"/>
            <w:vAlign w:val="center"/>
          </w:tcPr>
          <w:p w14:paraId="7F72D160">
            <w:pPr>
              <w:jc w:val="center"/>
              <w:rPr>
                <w:rFonts w:hint="eastAsia" w:ascii="宋体" w:hAnsi="宋体" w:cs="宋体"/>
                <w:color w:val="auto"/>
                <w:szCs w:val="21"/>
                <w:highlight w:val="none"/>
              </w:rPr>
            </w:pPr>
          </w:p>
        </w:tc>
        <w:tc>
          <w:tcPr>
            <w:tcW w:w="1800" w:type="dxa"/>
            <w:noWrap w:val="0"/>
            <w:vAlign w:val="center"/>
          </w:tcPr>
          <w:p w14:paraId="27D5917C">
            <w:pPr>
              <w:jc w:val="center"/>
              <w:rPr>
                <w:rFonts w:hint="eastAsia" w:ascii="宋体" w:hAnsi="宋体" w:cs="宋体"/>
                <w:color w:val="auto"/>
                <w:szCs w:val="21"/>
                <w:highlight w:val="none"/>
              </w:rPr>
            </w:pPr>
            <w:r>
              <w:rPr>
                <w:rFonts w:hint="eastAsia" w:ascii="宋体" w:hAnsi="宋体" w:cs="宋体"/>
                <w:color w:val="auto"/>
                <w:szCs w:val="21"/>
                <w:highlight w:val="none"/>
              </w:rPr>
              <w:t>基础工程</w:t>
            </w:r>
          </w:p>
        </w:tc>
        <w:tc>
          <w:tcPr>
            <w:tcW w:w="1521" w:type="dxa"/>
            <w:noWrap w:val="0"/>
            <w:vAlign w:val="center"/>
          </w:tcPr>
          <w:p w14:paraId="1C489B7F">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28BE7979">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vMerge w:val="continue"/>
            <w:noWrap w:val="0"/>
            <w:vAlign w:val="center"/>
          </w:tcPr>
          <w:p w14:paraId="63A0A151">
            <w:pPr>
              <w:jc w:val="center"/>
              <w:rPr>
                <w:rFonts w:hint="eastAsia" w:ascii="宋体" w:hAnsi="宋体" w:cs="宋体"/>
                <w:color w:val="auto"/>
                <w:szCs w:val="21"/>
                <w:highlight w:val="none"/>
              </w:rPr>
            </w:pPr>
          </w:p>
        </w:tc>
      </w:tr>
      <w:tr w14:paraId="50F58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14:paraId="56AB0DE8">
            <w:pPr>
              <w:jc w:val="center"/>
              <w:rPr>
                <w:rFonts w:hint="eastAsia" w:ascii="宋体" w:hAnsi="宋体" w:cs="宋体"/>
                <w:color w:val="auto"/>
                <w:szCs w:val="21"/>
                <w:highlight w:val="none"/>
              </w:rPr>
            </w:pPr>
            <w:r>
              <w:rPr>
                <w:rFonts w:hint="eastAsia" w:ascii="宋体" w:hAnsi="宋体" w:cs="宋体"/>
                <w:color w:val="auto"/>
                <w:szCs w:val="21"/>
                <w:highlight w:val="none"/>
              </w:rPr>
              <w:t>1.2.3</w:t>
            </w:r>
          </w:p>
        </w:tc>
        <w:tc>
          <w:tcPr>
            <w:tcW w:w="1620" w:type="dxa"/>
            <w:vMerge w:val="restart"/>
            <w:noWrap w:val="0"/>
            <w:vAlign w:val="center"/>
          </w:tcPr>
          <w:p w14:paraId="59A49799">
            <w:pPr>
              <w:jc w:val="center"/>
              <w:rPr>
                <w:rFonts w:hint="eastAsia" w:ascii="宋体" w:hAnsi="宋体" w:cs="宋体"/>
                <w:color w:val="auto"/>
                <w:szCs w:val="21"/>
                <w:highlight w:val="none"/>
              </w:rPr>
            </w:pPr>
            <w:r>
              <w:rPr>
                <w:rFonts w:hint="eastAsia" w:ascii="宋体" w:hAnsi="宋体" w:cs="宋体"/>
                <w:color w:val="auto"/>
                <w:szCs w:val="21"/>
                <w:highlight w:val="none"/>
              </w:rPr>
              <w:t>电缆工程</w:t>
            </w:r>
          </w:p>
        </w:tc>
        <w:tc>
          <w:tcPr>
            <w:tcW w:w="1800" w:type="dxa"/>
            <w:noWrap w:val="0"/>
            <w:vAlign w:val="center"/>
          </w:tcPr>
          <w:p w14:paraId="3EB600B6">
            <w:pPr>
              <w:jc w:val="center"/>
              <w:rPr>
                <w:rFonts w:hint="eastAsia" w:ascii="宋体" w:hAnsi="宋体" w:cs="宋体"/>
                <w:color w:val="auto"/>
                <w:szCs w:val="21"/>
                <w:highlight w:val="none"/>
              </w:rPr>
            </w:pPr>
            <w:r>
              <w:rPr>
                <w:rFonts w:hint="eastAsia" w:ascii="宋体" w:hAnsi="宋体" w:cs="宋体"/>
                <w:color w:val="auto"/>
                <w:szCs w:val="21"/>
                <w:highlight w:val="none"/>
              </w:rPr>
              <w:t>电缆特殊试验</w:t>
            </w:r>
          </w:p>
        </w:tc>
        <w:tc>
          <w:tcPr>
            <w:tcW w:w="1521" w:type="dxa"/>
            <w:noWrap w:val="0"/>
            <w:vAlign w:val="center"/>
          </w:tcPr>
          <w:p w14:paraId="2B888B99">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31C82CE4">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242FB4D3">
            <w:pPr>
              <w:jc w:val="center"/>
              <w:rPr>
                <w:rFonts w:hint="eastAsia" w:ascii="宋体" w:hAnsi="宋体" w:cs="宋体"/>
                <w:color w:val="auto"/>
                <w:szCs w:val="21"/>
                <w:highlight w:val="none"/>
              </w:rPr>
            </w:pPr>
          </w:p>
        </w:tc>
      </w:tr>
      <w:tr w14:paraId="71114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6DF26E0A">
            <w:pPr>
              <w:jc w:val="center"/>
              <w:rPr>
                <w:rFonts w:hint="eastAsia" w:ascii="宋体" w:hAnsi="宋体" w:cs="宋体"/>
                <w:color w:val="auto"/>
                <w:szCs w:val="21"/>
                <w:highlight w:val="none"/>
              </w:rPr>
            </w:pPr>
          </w:p>
        </w:tc>
        <w:tc>
          <w:tcPr>
            <w:tcW w:w="1620" w:type="dxa"/>
            <w:vMerge w:val="continue"/>
            <w:noWrap w:val="0"/>
            <w:vAlign w:val="center"/>
          </w:tcPr>
          <w:p w14:paraId="0958D14B">
            <w:pPr>
              <w:jc w:val="center"/>
              <w:rPr>
                <w:rFonts w:hint="eastAsia" w:ascii="宋体" w:hAnsi="宋体" w:cs="宋体"/>
                <w:color w:val="auto"/>
                <w:szCs w:val="21"/>
                <w:highlight w:val="none"/>
              </w:rPr>
            </w:pPr>
          </w:p>
        </w:tc>
        <w:tc>
          <w:tcPr>
            <w:tcW w:w="1800" w:type="dxa"/>
            <w:noWrap w:val="0"/>
            <w:vAlign w:val="center"/>
          </w:tcPr>
          <w:p w14:paraId="356A6F9B">
            <w:pPr>
              <w:jc w:val="center"/>
              <w:rPr>
                <w:rFonts w:hint="eastAsia" w:ascii="宋体" w:hAnsi="宋体" w:cs="宋体"/>
                <w:color w:val="auto"/>
                <w:szCs w:val="21"/>
                <w:highlight w:val="none"/>
              </w:rPr>
            </w:pPr>
            <w:r>
              <w:rPr>
                <w:rFonts w:hint="eastAsia" w:ascii="宋体" w:hAnsi="宋体" w:cs="宋体"/>
                <w:color w:val="auto"/>
                <w:szCs w:val="21"/>
                <w:highlight w:val="none"/>
              </w:rPr>
              <w:t>电缆沟、井、隧道及保护管工程</w:t>
            </w:r>
          </w:p>
        </w:tc>
        <w:tc>
          <w:tcPr>
            <w:tcW w:w="1521" w:type="dxa"/>
            <w:noWrap w:val="0"/>
            <w:vAlign w:val="center"/>
          </w:tcPr>
          <w:p w14:paraId="35F3EF0C">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3337FBC2">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4F0FCD6D">
            <w:pPr>
              <w:jc w:val="center"/>
              <w:rPr>
                <w:rFonts w:hint="eastAsia" w:ascii="宋体" w:hAnsi="宋体" w:cs="宋体"/>
                <w:color w:val="auto"/>
                <w:szCs w:val="21"/>
                <w:highlight w:val="none"/>
              </w:rPr>
            </w:pPr>
            <w:r>
              <w:rPr>
                <w:rFonts w:hint="eastAsia" w:ascii="宋体" w:hAnsi="宋体" w:cs="宋体"/>
                <w:color w:val="auto"/>
                <w:szCs w:val="21"/>
                <w:highlight w:val="none"/>
              </w:rPr>
              <w:t>含防火封堵</w:t>
            </w:r>
          </w:p>
        </w:tc>
      </w:tr>
      <w:tr w14:paraId="390C8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2513D910">
            <w:pPr>
              <w:jc w:val="center"/>
              <w:rPr>
                <w:rFonts w:hint="eastAsia" w:ascii="宋体" w:hAnsi="宋体" w:cs="宋体"/>
                <w:color w:val="auto"/>
                <w:szCs w:val="21"/>
                <w:highlight w:val="none"/>
              </w:rPr>
            </w:pPr>
          </w:p>
        </w:tc>
        <w:tc>
          <w:tcPr>
            <w:tcW w:w="1620" w:type="dxa"/>
            <w:vMerge w:val="continue"/>
            <w:noWrap w:val="0"/>
            <w:vAlign w:val="center"/>
          </w:tcPr>
          <w:p w14:paraId="72B5608C">
            <w:pPr>
              <w:jc w:val="center"/>
              <w:rPr>
                <w:rFonts w:hint="eastAsia" w:ascii="宋体" w:hAnsi="宋体" w:cs="宋体"/>
                <w:color w:val="auto"/>
                <w:szCs w:val="21"/>
                <w:highlight w:val="none"/>
              </w:rPr>
            </w:pPr>
          </w:p>
        </w:tc>
        <w:tc>
          <w:tcPr>
            <w:tcW w:w="1800" w:type="dxa"/>
            <w:noWrap w:val="0"/>
            <w:vAlign w:val="center"/>
          </w:tcPr>
          <w:p w14:paraId="44C06D3A">
            <w:pPr>
              <w:jc w:val="center"/>
              <w:rPr>
                <w:rFonts w:hint="eastAsia" w:ascii="宋体" w:hAnsi="宋体" w:cs="宋体"/>
                <w:color w:val="auto"/>
                <w:szCs w:val="21"/>
                <w:highlight w:val="none"/>
              </w:rPr>
            </w:pPr>
            <w:r>
              <w:rPr>
                <w:rFonts w:hint="eastAsia" w:ascii="宋体" w:hAnsi="宋体" w:cs="宋体"/>
                <w:color w:val="auto"/>
                <w:szCs w:val="21"/>
                <w:highlight w:val="none"/>
              </w:rPr>
              <w:t>电缆支架、桥架及托架工程</w:t>
            </w:r>
          </w:p>
        </w:tc>
        <w:tc>
          <w:tcPr>
            <w:tcW w:w="1521" w:type="dxa"/>
            <w:noWrap w:val="0"/>
            <w:vAlign w:val="center"/>
          </w:tcPr>
          <w:p w14:paraId="61ADA680">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060482E0">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0CD9FF67">
            <w:pPr>
              <w:jc w:val="center"/>
              <w:rPr>
                <w:rFonts w:hint="eastAsia" w:ascii="宋体" w:hAnsi="宋体" w:cs="宋体"/>
                <w:color w:val="auto"/>
                <w:szCs w:val="21"/>
                <w:highlight w:val="none"/>
              </w:rPr>
            </w:pPr>
          </w:p>
        </w:tc>
      </w:tr>
      <w:tr w14:paraId="1DD83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7FC09AAE">
            <w:pPr>
              <w:jc w:val="center"/>
              <w:rPr>
                <w:rFonts w:hint="eastAsia" w:ascii="宋体" w:hAnsi="宋体" w:cs="宋体"/>
                <w:color w:val="auto"/>
                <w:szCs w:val="21"/>
                <w:highlight w:val="none"/>
              </w:rPr>
            </w:pPr>
          </w:p>
        </w:tc>
        <w:tc>
          <w:tcPr>
            <w:tcW w:w="1620" w:type="dxa"/>
            <w:vMerge w:val="continue"/>
            <w:noWrap w:val="0"/>
            <w:vAlign w:val="center"/>
          </w:tcPr>
          <w:p w14:paraId="5C943777">
            <w:pPr>
              <w:jc w:val="center"/>
              <w:rPr>
                <w:rFonts w:hint="eastAsia" w:ascii="宋体" w:hAnsi="宋体" w:cs="宋体"/>
                <w:color w:val="auto"/>
                <w:szCs w:val="21"/>
                <w:highlight w:val="none"/>
              </w:rPr>
            </w:pPr>
          </w:p>
        </w:tc>
        <w:tc>
          <w:tcPr>
            <w:tcW w:w="1800" w:type="dxa"/>
            <w:noWrap w:val="0"/>
            <w:vAlign w:val="center"/>
          </w:tcPr>
          <w:p w14:paraId="7C901245">
            <w:pPr>
              <w:jc w:val="center"/>
              <w:rPr>
                <w:rFonts w:hint="eastAsia" w:ascii="宋体" w:hAnsi="宋体" w:cs="宋体"/>
                <w:color w:val="auto"/>
                <w:szCs w:val="21"/>
                <w:highlight w:val="none"/>
              </w:rPr>
            </w:pPr>
            <w:r>
              <w:rPr>
                <w:rFonts w:hint="eastAsia" w:ascii="宋体" w:hAnsi="宋体" w:cs="宋体"/>
                <w:color w:val="auto"/>
                <w:szCs w:val="21"/>
                <w:highlight w:val="none"/>
              </w:rPr>
              <w:t>路面处理</w:t>
            </w:r>
          </w:p>
        </w:tc>
        <w:tc>
          <w:tcPr>
            <w:tcW w:w="1521" w:type="dxa"/>
            <w:noWrap w:val="0"/>
            <w:vAlign w:val="center"/>
          </w:tcPr>
          <w:p w14:paraId="456B9B52">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32A4AC3B">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3A6A3CEF">
            <w:pPr>
              <w:jc w:val="center"/>
              <w:rPr>
                <w:rFonts w:hint="eastAsia" w:ascii="宋体" w:hAnsi="宋体" w:cs="宋体"/>
                <w:color w:val="auto"/>
                <w:szCs w:val="21"/>
                <w:highlight w:val="none"/>
              </w:rPr>
            </w:pPr>
          </w:p>
        </w:tc>
      </w:tr>
      <w:tr w14:paraId="53315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14:paraId="50577279">
            <w:pPr>
              <w:jc w:val="center"/>
              <w:rPr>
                <w:rFonts w:hint="eastAsia" w:ascii="宋体" w:hAnsi="宋体" w:cs="宋体"/>
                <w:color w:val="auto"/>
                <w:szCs w:val="21"/>
                <w:highlight w:val="none"/>
              </w:rPr>
            </w:pPr>
            <w:r>
              <w:rPr>
                <w:rFonts w:hint="eastAsia" w:ascii="宋体" w:hAnsi="宋体" w:cs="宋体"/>
                <w:color w:val="auto"/>
                <w:szCs w:val="21"/>
                <w:highlight w:val="none"/>
              </w:rPr>
              <w:t>1.2.4</w:t>
            </w:r>
          </w:p>
        </w:tc>
        <w:tc>
          <w:tcPr>
            <w:tcW w:w="1620" w:type="dxa"/>
            <w:vMerge w:val="restart"/>
            <w:noWrap w:val="0"/>
            <w:vAlign w:val="center"/>
          </w:tcPr>
          <w:p w14:paraId="0A1BB4CE">
            <w:pPr>
              <w:jc w:val="center"/>
              <w:rPr>
                <w:rFonts w:hint="eastAsia" w:ascii="宋体" w:hAnsi="宋体" w:cs="宋体"/>
                <w:color w:val="auto"/>
                <w:szCs w:val="21"/>
                <w:highlight w:val="none"/>
              </w:rPr>
            </w:pPr>
            <w:r>
              <w:rPr>
                <w:rFonts w:hint="eastAsia" w:ascii="宋体" w:hAnsi="宋体" w:cs="宋体"/>
                <w:color w:val="auto"/>
                <w:szCs w:val="21"/>
                <w:highlight w:val="none"/>
              </w:rPr>
              <w:t>通信工程</w:t>
            </w:r>
          </w:p>
        </w:tc>
        <w:tc>
          <w:tcPr>
            <w:tcW w:w="1800" w:type="dxa"/>
            <w:noWrap w:val="0"/>
            <w:vAlign w:val="center"/>
          </w:tcPr>
          <w:p w14:paraId="5B4B8EE6">
            <w:pPr>
              <w:jc w:val="center"/>
              <w:rPr>
                <w:rFonts w:hint="eastAsia" w:ascii="宋体" w:hAnsi="宋体" w:cs="宋体"/>
                <w:color w:val="auto"/>
                <w:szCs w:val="21"/>
                <w:highlight w:val="none"/>
              </w:rPr>
            </w:pPr>
            <w:r>
              <w:rPr>
                <w:rFonts w:hint="eastAsia" w:ascii="宋体" w:hAnsi="宋体" w:cs="宋体"/>
                <w:color w:val="auto"/>
                <w:szCs w:val="21"/>
                <w:highlight w:val="none"/>
              </w:rPr>
              <w:t>土建</w:t>
            </w:r>
          </w:p>
        </w:tc>
        <w:tc>
          <w:tcPr>
            <w:tcW w:w="1521" w:type="dxa"/>
            <w:noWrap w:val="0"/>
            <w:vAlign w:val="center"/>
          </w:tcPr>
          <w:p w14:paraId="1A5F5BAA">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6F579137">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3869C3FC">
            <w:pPr>
              <w:jc w:val="center"/>
              <w:rPr>
                <w:rFonts w:hint="eastAsia" w:ascii="宋体" w:hAnsi="宋体" w:cs="宋体"/>
                <w:color w:val="auto"/>
                <w:szCs w:val="21"/>
                <w:highlight w:val="none"/>
              </w:rPr>
            </w:pPr>
          </w:p>
        </w:tc>
      </w:tr>
      <w:tr w14:paraId="659E0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51365F88">
            <w:pPr>
              <w:jc w:val="center"/>
              <w:rPr>
                <w:rFonts w:hint="eastAsia" w:ascii="宋体" w:hAnsi="宋体" w:cs="宋体"/>
                <w:color w:val="auto"/>
                <w:szCs w:val="21"/>
                <w:highlight w:val="none"/>
              </w:rPr>
            </w:pPr>
          </w:p>
        </w:tc>
        <w:tc>
          <w:tcPr>
            <w:tcW w:w="1620" w:type="dxa"/>
            <w:vMerge w:val="continue"/>
            <w:noWrap w:val="0"/>
            <w:vAlign w:val="center"/>
          </w:tcPr>
          <w:p w14:paraId="7E0CDB95">
            <w:pPr>
              <w:jc w:val="center"/>
              <w:rPr>
                <w:rFonts w:hint="eastAsia" w:ascii="宋体" w:hAnsi="宋体" w:cs="宋体"/>
                <w:color w:val="auto"/>
                <w:szCs w:val="21"/>
                <w:highlight w:val="none"/>
              </w:rPr>
            </w:pPr>
          </w:p>
        </w:tc>
        <w:tc>
          <w:tcPr>
            <w:tcW w:w="1800" w:type="dxa"/>
            <w:noWrap w:val="0"/>
            <w:vAlign w:val="center"/>
          </w:tcPr>
          <w:p w14:paraId="24C20D7A">
            <w:pPr>
              <w:jc w:val="center"/>
              <w:rPr>
                <w:rFonts w:hint="eastAsia" w:ascii="宋体" w:hAnsi="宋体" w:cs="宋体"/>
                <w:color w:val="auto"/>
                <w:szCs w:val="21"/>
                <w:highlight w:val="none"/>
              </w:rPr>
            </w:pPr>
            <w:r>
              <w:rPr>
                <w:rFonts w:hint="eastAsia" w:ascii="宋体" w:hAnsi="宋体" w:cs="宋体"/>
                <w:color w:val="auto"/>
                <w:szCs w:val="21"/>
                <w:highlight w:val="none"/>
              </w:rPr>
              <w:t>工地运输</w:t>
            </w:r>
          </w:p>
        </w:tc>
        <w:tc>
          <w:tcPr>
            <w:tcW w:w="1521" w:type="dxa"/>
            <w:noWrap w:val="0"/>
            <w:vAlign w:val="center"/>
          </w:tcPr>
          <w:p w14:paraId="3AABB14D">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5C29B1F5">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5CA72606">
            <w:pPr>
              <w:jc w:val="center"/>
              <w:rPr>
                <w:rFonts w:hint="eastAsia" w:ascii="宋体" w:hAnsi="宋体" w:cs="宋体"/>
                <w:color w:val="auto"/>
                <w:szCs w:val="21"/>
                <w:highlight w:val="none"/>
              </w:rPr>
            </w:pPr>
          </w:p>
        </w:tc>
      </w:tr>
      <w:tr w14:paraId="43AED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13177DC3">
            <w:pPr>
              <w:jc w:val="center"/>
              <w:rPr>
                <w:rFonts w:hint="eastAsia" w:ascii="宋体" w:hAnsi="宋体" w:cs="宋体"/>
                <w:color w:val="auto"/>
                <w:szCs w:val="21"/>
                <w:highlight w:val="none"/>
              </w:rPr>
            </w:pPr>
          </w:p>
        </w:tc>
        <w:tc>
          <w:tcPr>
            <w:tcW w:w="1620" w:type="dxa"/>
            <w:vMerge w:val="continue"/>
            <w:noWrap w:val="0"/>
            <w:vAlign w:val="center"/>
          </w:tcPr>
          <w:p w14:paraId="1C8B1555">
            <w:pPr>
              <w:jc w:val="center"/>
              <w:rPr>
                <w:rFonts w:hint="eastAsia" w:ascii="宋体" w:hAnsi="宋体" w:cs="宋体"/>
                <w:color w:val="auto"/>
                <w:szCs w:val="21"/>
                <w:highlight w:val="none"/>
              </w:rPr>
            </w:pPr>
          </w:p>
        </w:tc>
        <w:tc>
          <w:tcPr>
            <w:tcW w:w="1800" w:type="dxa"/>
            <w:noWrap w:val="0"/>
            <w:vAlign w:val="center"/>
          </w:tcPr>
          <w:p w14:paraId="0FBC6372">
            <w:pPr>
              <w:jc w:val="center"/>
              <w:rPr>
                <w:rFonts w:hint="eastAsia" w:ascii="宋体" w:hAnsi="宋体" w:cs="宋体"/>
                <w:color w:val="auto"/>
                <w:szCs w:val="21"/>
                <w:highlight w:val="none"/>
              </w:rPr>
            </w:pPr>
            <w:r>
              <w:rPr>
                <w:rFonts w:hint="eastAsia" w:ascii="宋体" w:hAnsi="宋体" w:cs="宋体"/>
                <w:color w:val="auto"/>
                <w:szCs w:val="21"/>
                <w:highlight w:val="none"/>
              </w:rPr>
              <w:t>光设备安装与调试</w:t>
            </w:r>
          </w:p>
        </w:tc>
        <w:tc>
          <w:tcPr>
            <w:tcW w:w="1521" w:type="dxa"/>
            <w:noWrap w:val="0"/>
            <w:vAlign w:val="center"/>
          </w:tcPr>
          <w:p w14:paraId="0ABB6259">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3F64DFAD">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10DC2D7C">
            <w:pPr>
              <w:jc w:val="center"/>
              <w:rPr>
                <w:rFonts w:hint="eastAsia" w:ascii="宋体" w:hAnsi="宋体" w:cs="宋体"/>
                <w:color w:val="auto"/>
                <w:szCs w:val="21"/>
                <w:highlight w:val="none"/>
              </w:rPr>
            </w:pPr>
          </w:p>
        </w:tc>
      </w:tr>
      <w:tr w14:paraId="10F26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6D064BDC">
            <w:pPr>
              <w:jc w:val="center"/>
              <w:rPr>
                <w:rFonts w:hint="eastAsia" w:ascii="宋体" w:hAnsi="宋体" w:cs="宋体"/>
                <w:color w:val="auto"/>
                <w:szCs w:val="21"/>
                <w:highlight w:val="none"/>
              </w:rPr>
            </w:pPr>
          </w:p>
        </w:tc>
        <w:tc>
          <w:tcPr>
            <w:tcW w:w="1620" w:type="dxa"/>
            <w:vMerge w:val="continue"/>
            <w:noWrap w:val="0"/>
            <w:vAlign w:val="center"/>
          </w:tcPr>
          <w:p w14:paraId="1C639C2F">
            <w:pPr>
              <w:jc w:val="center"/>
              <w:rPr>
                <w:rFonts w:hint="eastAsia" w:ascii="宋体" w:hAnsi="宋体" w:cs="宋体"/>
                <w:color w:val="auto"/>
                <w:szCs w:val="21"/>
                <w:highlight w:val="none"/>
              </w:rPr>
            </w:pPr>
          </w:p>
        </w:tc>
        <w:tc>
          <w:tcPr>
            <w:tcW w:w="1800" w:type="dxa"/>
            <w:noWrap w:val="0"/>
            <w:vAlign w:val="center"/>
          </w:tcPr>
          <w:p w14:paraId="60819FA9">
            <w:pPr>
              <w:jc w:val="center"/>
              <w:rPr>
                <w:rFonts w:hint="eastAsia" w:ascii="宋体" w:hAnsi="宋体" w:cs="宋体"/>
                <w:color w:val="auto"/>
                <w:szCs w:val="21"/>
                <w:highlight w:val="none"/>
              </w:rPr>
            </w:pPr>
            <w:r>
              <w:rPr>
                <w:rFonts w:hint="eastAsia" w:ascii="宋体" w:hAnsi="宋体" w:cs="宋体"/>
                <w:color w:val="auto"/>
                <w:szCs w:val="21"/>
                <w:highlight w:val="none"/>
              </w:rPr>
              <w:t>配电设备安装与调试</w:t>
            </w:r>
          </w:p>
        </w:tc>
        <w:tc>
          <w:tcPr>
            <w:tcW w:w="1521" w:type="dxa"/>
            <w:noWrap w:val="0"/>
            <w:vAlign w:val="center"/>
          </w:tcPr>
          <w:p w14:paraId="148F941D">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70968B4E">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1F74509A">
            <w:pPr>
              <w:jc w:val="center"/>
              <w:rPr>
                <w:rFonts w:hint="eastAsia" w:ascii="宋体" w:hAnsi="宋体" w:cs="宋体"/>
                <w:color w:val="auto"/>
                <w:szCs w:val="21"/>
                <w:highlight w:val="none"/>
              </w:rPr>
            </w:pPr>
          </w:p>
        </w:tc>
      </w:tr>
      <w:tr w14:paraId="399A9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563A4B4B">
            <w:pPr>
              <w:jc w:val="center"/>
              <w:rPr>
                <w:rFonts w:hint="eastAsia" w:ascii="宋体" w:hAnsi="宋体" w:cs="宋体"/>
                <w:color w:val="auto"/>
                <w:szCs w:val="21"/>
                <w:highlight w:val="none"/>
              </w:rPr>
            </w:pPr>
          </w:p>
        </w:tc>
        <w:tc>
          <w:tcPr>
            <w:tcW w:w="1620" w:type="dxa"/>
            <w:vMerge w:val="continue"/>
            <w:noWrap w:val="0"/>
            <w:vAlign w:val="center"/>
          </w:tcPr>
          <w:p w14:paraId="7E5C55A1">
            <w:pPr>
              <w:jc w:val="center"/>
              <w:rPr>
                <w:rFonts w:hint="eastAsia" w:ascii="宋体" w:hAnsi="宋体" w:cs="宋体"/>
                <w:color w:val="auto"/>
                <w:szCs w:val="21"/>
                <w:highlight w:val="none"/>
              </w:rPr>
            </w:pPr>
          </w:p>
        </w:tc>
        <w:tc>
          <w:tcPr>
            <w:tcW w:w="1800" w:type="dxa"/>
            <w:noWrap w:val="0"/>
            <w:vAlign w:val="center"/>
          </w:tcPr>
          <w:p w14:paraId="05BA40DD">
            <w:pPr>
              <w:jc w:val="center"/>
              <w:rPr>
                <w:rFonts w:hint="eastAsia" w:ascii="宋体" w:hAnsi="宋体" w:cs="宋体"/>
                <w:color w:val="auto"/>
                <w:szCs w:val="21"/>
                <w:highlight w:val="none"/>
              </w:rPr>
            </w:pPr>
            <w:r>
              <w:rPr>
                <w:rFonts w:hint="eastAsia" w:ascii="宋体" w:hAnsi="宋体" w:cs="宋体"/>
                <w:color w:val="auto"/>
                <w:szCs w:val="21"/>
                <w:highlight w:val="none"/>
              </w:rPr>
              <w:t>电缆及接地</w:t>
            </w:r>
          </w:p>
        </w:tc>
        <w:tc>
          <w:tcPr>
            <w:tcW w:w="1521" w:type="dxa"/>
            <w:noWrap w:val="0"/>
            <w:vAlign w:val="center"/>
          </w:tcPr>
          <w:p w14:paraId="23F26142">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42550531">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73A9B1F6">
            <w:pPr>
              <w:jc w:val="center"/>
              <w:rPr>
                <w:rFonts w:hint="eastAsia" w:ascii="宋体" w:hAnsi="宋体" w:cs="宋体"/>
                <w:color w:val="auto"/>
                <w:szCs w:val="21"/>
                <w:highlight w:val="none"/>
              </w:rPr>
            </w:pPr>
          </w:p>
        </w:tc>
      </w:tr>
      <w:tr w14:paraId="64FAE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388F18FA">
            <w:pPr>
              <w:jc w:val="center"/>
              <w:rPr>
                <w:rFonts w:hint="eastAsia" w:ascii="宋体" w:hAnsi="宋体" w:cs="宋体"/>
                <w:color w:val="auto"/>
                <w:szCs w:val="21"/>
                <w:highlight w:val="none"/>
              </w:rPr>
            </w:pPr>
          </w:p>
        </w:tc>
        <w:tc>
          <w:tcPr>
            <w:tcW w:w="1620" w:type="dxa"/>
            <w:vMerge w:val="continue"/>
            <w:noWrap w:val="0"/>
            <w:vAlign w:val="center"/>
          </w:tcPr>
          <w:p w14:paraId="05756D94">
            <w:pPr>
              <w:jc w:val="center"/>
              <w:rPr>
                <w:rFonts w:hint="eastAsia" w:ascii="宋体" w:hAnsi="宋体" w:cs="宋体"/>
                <w:color w:val="auto"/>
                <w:szCs w:val="21"/>
                <w:highlight w:val="none"/>
              </w:rPr>
            </w:pPr>
          </w:p>
        </w:tc>
        <w:tc>
          <w:tcPr>
            <w:tcW w:w="1800" w:type="dxa"/>
            <w:noWrap w:val="0"/>
            <w:vAlign w:val="center"/>
          </w:tcPr>
          <w:p w14:paraId="4BBFA328">
            <w:pPr>
              <w:jc w:val="center"/>
              <w:rPr>
                <w:rFonts w:hint="eastAsia" w:ascii="宋体" w:hAnsi="宋体" w:cs="宋体"/>
                <w:color w:val="auto"/>
                <w:szCs w:val="21"/>
                <w:highlight w:val="none"/>
              </w:rPr>
            </w:pPr>
            <w:r>
              <w:rPr>
                <w:rFonts w:hint="eastAsia" w:ascii="宋体" w:hAnsi="宋体" w:cs="宋体"/>
                <w:color w:val="auto"/>
                <w:szCs w:val="21"/>
                <w:highlight w:val="none"/>
              </w:rPr>
              <w:t>光缆敷设与架设</w:t>
            </w:r>
          </w:p>
        </w:tc>
        <w:tc>
          <w:tcPr>
            <w:tcW w:w="1521" w:type="dxa"/>
            <w:noWrap w:val="0"/>
            <w:vAlign w:val="center"/>
          </w:tcPr>
          <w:p w14:paraId="02DFD1A1">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200CADAB">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5A43F0F0">
            <w:pPr>
              <w:jc w:val="center"/>
              <w:rPr>
                <w:rFonts w:hint="eastAsia" w:ascii="宋体" w:hAnsi="宋体" w:cs="宋体"/>
                <w:color w:val="auto"/>
                <w:szCs w:val="21"/>
                <w:highlight w:val="none"/>
              </w:rPr>
            </w:pPr>
          </w:p>
        </w:tc>
      </w:tr>
      <w:tr w14:paraId="0FF4D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7E23B5AE">
            <w:pPr>
              <w:jc w:val="center"/>
              <w:rPr>
                <w:rFonts w:hint="eastAsia" w:ascii="宋体" w:hAnsi="宋体" w:cs="宋体"/>
                <w:color w:val="auto"/>
                <w:szCs w:val="21"/>
                <w:highlight w:val="none"/>
              </w:rPr>
            </w:pPr>
          </w:p>
        </w:tc>
        <w:tc>
          <w:tcPr>
            <w:tcW w:w="1620" w:type="dxa"/>
            <w:vMerge w:val="continue"/>
            <w:noWrap w:val="0"/>
            <w:vAlign w:val="center"/>
          </w:tcPr>
          <w:p w14:paraId="519DCB4A">
            <w:pPr>
              <w:jc w:val="center"/>
              <w:rPr>
                <w:rFonts w:hint="eastAsia" w:ascii="宋体" w:hAnsi="宋体" w:cs="宋体"/>
                <w:color w:val="auto"/>
                <w:szCs w:val="21"/>
                <w:highlight w:val="none"/>
              </w:rPr>
            </w:pPr>
          </w:p>
        </w:tc>
        <w:tc>
          <w:tcPr>
            <w:tcW w:w="1800" w:type="dxa"/>
            <w:noWrap w:val="0"/>
            <w:vAlign w:val="center"/>
          </w:tcPr>
          <w:p w14:paraId="5B6CCB71">
            <w:pPr>
              <w:jc w:val="center"/>
              <w:rPr>
                <w:rFonts w:hint="eastAsia" w:ascii="宋体" w:hAnsi="宋体" w:cs="宋体"/>
                <w:color w:val="auto"/>
                <w:szCs w:val="21"/>
                <w:highlight w:val="none"/>
              </w:rPr>
            </w:pPr>
            <w:r>
              <w:rPr>
                <w:rFonts w:hint="eastAsia" w:ascii="宋体" w:hAnsi="宋体" w:cs="宋体"/>
                <w:color w:val="auto"/>
                <w:szCs w:val="21"/>
                <w:highlight w:val="none"/>
              </w:rPr>
              <w:t>光缆头制作与安装</w:t>
            </w:r>
          </w:p>
        </w:tc>
        <w:tc>
          <w:tcPr>
            <w:tcW w:w="1521" w:type="dxa"/>
            <w:noWrap w:val="0"/>
            <w:vAlign w:val="center"/>
          </w:tcPr>
          <w:p w14:paraId="5C3BD5E9">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63FB9AE3">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5AED81CA">
            <w:pPr>
              <w:jc w:val="center"/>
              <w:rPr>
                <w:rFonts w:hint="eastAsia" w:ascii="宋体" w:hAnsi="宋体" w:cs="宋体"/>
                <w:color w:val="auto"/>
                <w:szCs w:val="21"/>
                <w:highlight w:val="none"/>
              </w:rPr>
            </w:pPr>
          </w:p>
        </w:tc>
      </w:tr>
      <w:tr w14:paraId="76D83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3CDE21DF">
            <w:pPr>
              <w:jc w:val="center"/>
              <w:rPr>
                <w:rFonts w:hint="eastAsia" w:ascii="宋体" w:hAnsi="宋体" w:cs="宋体"/>
                <w:color w:val="auto"/>
                <w:szCs w:val="21"/>
                <w:highlight w:val="none"/>
              </w:rPr>
            </w:pPr>
          </w:p>
        </w:tc>
        <w:tc>
          <w:tcPr>
            <w:tcW w:w="1620" w:type="dxa"/>
            <w:vMerge w:val="continue"/>
            <w:noWrap w:val="0"/>
            <w:vAlign w:val="center"/>
          </w:tcPr>
          <w:p w14:paraId="0A04C4C3">
            <w:pPr>
              <w:jc w:val="center"/>
              <w:rPr>
                <w:rFonts w:hint="eastAsia" w:ascii="宋体" w:hAnsi="宋体" w:cs="宋体"/>
                <w:color w:val="auto"/>
                <w:szCs w:val="21"/>
                <w:highlight w:val="none"/>
              </w:rPr>
            </w:pPr>
          </w:p>
        </w:tc>
        <w:tc>
          <w:tcPr>
            <w:tcW w:w="1800" w:type="dxa"/>
            <w:noWrap w:val="0"/>
            <w:vAlign w:val="center"/>
          </w:tcPr>
          <w:p w14:paraId="16BD1418">
            <w:pPr>
              <w:jc w:val="center"/>
              <w:rPr>
                <w:rFonts w:hint="eastAsia" w:ascii="宋体" w:hAnsi="宋体" w:cs="宋体"/>
                <w:color w:val="auto"/>
                <w:szCs w:val="21"/>
                <w:highlight w:val="none"/>
              </w:rPr>
            </w:pPr>
            <w:r>
              <w:rPr>
                <w:rFonts w:hint="eastAsia" w:ascii="宋体" w:hAnsi="宋体" w:cs="宋体"/>
                <w:color w:val="auto"/>
                <w:szCs w:val="21"/>
                <w:highlight w:val="none"/>
              </w:rPr>
              <w:t>光缆测试</w:t>
            </w:r>
          </w:p>
        </w:tc>
        <w:tc>
          <w:tcPr>
            <w:tcW w:w="1521" w:type="dxa"/>
            <w:noWrap w:val="0"/>
            <w:vAlign w:val="center"/>
          </w:tcPr>
          <w:p w14:paraId="6AF1B667">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407FAEE9">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56C20A17">
            <w:pPr>
              <w:jc w:val="center"/>
              <w:rPr>
                <w:rFonts w:hint="eastAsia" w:ascii="宋体" w:hAnsi="宋体" w:cs="宋体"/>
                <w:color w:val="auto"/>
                <w:szCs w:val="21"/>
                <w:highlight w:val="none"/>
              </w:rPr>
            </w:pPr>
          </w:p>
        </w:tc>
      </w:tr>
    </w:tbl>
    <w:p w14:paraId="061905FB">
      <w:pPr>
        <w:autoSpaceDE w:val="0"/>
        <w:autoSpaceDN w:val="0"/>
        <w:jc w:val="left"/>
        <w:rPr>
          <w:rFonts w:hint="eastAsia" w:ascii="宋体" w:hAnsi="宋体" w:cs="仿宋_GB2312"/>
          <w:color w:val="auto"/>
          <w:szCs w:val="21"/>
          <w:highlight w:val="none"/>
        </w:rPr>
      </w:pPr>
    </w:p>
    <w:p w14:paraId="4D958970">
      <w:pPr>
        <w:spacing w:line="360" w:lineRule="atLeast"/>
        <w:jc w:val="left"/>
        <w:rPr>
          <w:rFonts w:hint="eastAsia" w:ascii="仿宋_GB2312" w:hAnsi="仿宋_GB2312" w:eastAsia="仿宋_GB2312"/>
          <w:color w:val="auto"/>
          <w:sz w:val="32"/>
          <w:highlight w:val="none"/>
        </w:rPr>
      </w:pPr>
    </w:p>
    <w:p w14:paraId="498AB560">
      <w:pPr>
        <w:rPr>
          <w:color w:val="auto"/>
          <w:highlight w:val="none"/>
          <w:shd w:val="clear" w:color="auto" w:fill="auto"/>
        </w:rPr>
      </w:pPr>
    </w:p>
    <w:p w14:paraId="7966A327">
      <w:pPr>
        <w:pStyle w:val="5"/>
        <w:spacing w:after="0"/>
        <w:ind w:left="0" w:leftChars="0" w:firstLine="420" w:firstLineChars="200"/>
        <w:outlineLvl w:val="9"/>
        <w:rPr>
          <w:rFonts w:hint="eastAsia" w:ascii="宋体" w:hAnsi="宋体"/>
          <w:color w:val="auto"/>
          <w:szCs w:val="21"/>
          <w:highlight w:val="none"/>
          <w:shd w:val="clear" w:color="auto" w:fill="auto"/>
        </w:rPr>
      </w:pPr>
    </w:p>
    <w:p w14:paraId="54756055">
      <w:pPr>
        <w:pStyle w:val="5"/>
        <w:spacing w:after="0" w:line="360" w:lineRule="auto"/>
        <w:ind w:left="0" w:leftChars="0" w:firstLine="420" w:firstLineChars="200"/>
        <w:rPr>
          <w:rFonts w:hint="eastAsia" w:ascii="宋体" w:hAnsi="宋体"/>
          <w:color w:val="auto"/>
          <w:szCs w:val="21"/>
          <w:highlight w:val="none"/>
          <w:shd w:val="clear" w:color="auto" w:fill="auto"/>
        </w:rPr>
      </w:pPr>
    </w:p>
    <w:p w14:paraId="2C71A1DA">
      <w:pPr>
        <w:pStyle w:val="2"/>
        <w:rPr>
          <w:rFonts w:hint="eastAsia"/>
          <w:color w:val="auto"/>
          <w:highlight w:val="none"/>
          <w:lang w:val="en-US" w:eastAsia="zh-CN"/>
        </w:rPr>
      </w:pPr>
    </w:p>
    <w:sectPr>
      <w:pgSz w:w="11906" w:h="16838"/>
      <w:pgMar w:top="1247" w:right="1800" w:bottom="1247"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NewRomanPSMT">
    <w:altName w:val="Times New Roman"/>
    <w:panose1 w:val="00000000000000000000"/>
    <w:charset w:val="00"/>
    <w:family w:val="roman"/>
    <w:pitch w:val="default"/>
    <w:sig w:usb0="00000000" w:usb1="00000000" w:usb2="00000000" w:usb3="00000000" w:csb0="0000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F8BCA1"/>
    <w:multiLevelType w:val="singleLevel"/>
    <w:tmpl w:val="93F8BCA1"/>
    <w:lvl w:ilvl="0" w:tentative="0">
      <w:start w:val="2"/>
      <w:numFmt w:val="decimal"/>
      <w:suff w:val="space"/>
      <w:lvlText w:val="%1."/>
      <w:lvlJc w:val="left"/>
    </w:lvl>
  </w:abstractNum>
  <w:abstractNum w:abstractNumId="1">
    <w:nsid w:val="B7618685"/>
    <w:multiLevelType w:val="singleLevel"/>
    <w:tmpl w:val="B7618685"/>
    <w:lvl w:ilvl="0" w:tentative="0">
      <w:start w:val="14"/>
      <w:numFmt w:val="decimal"/>
      <w:lvlText w:val="%1."/>
      <w:lvlJc w:val="left"/>
    </w:lvl>
  </w:abstractNum>
  <w:abstractNum w:abstractNumId="2">
    <w:nsid w:val="F7FD0F19"/>
    <w:multiLevelType w:val="singleLevel"/>
    <w:tmpl w:val="F7FD0F19"/>
    <w:lvl w:ilvl="0" w:tentative="0">
      <w:start w:val="12"/>
      <w:numFmt w:val="decimal"/>
      <w:suff w:val="nothing"/>
      <w:lvlText w:val="（%1）"/>
      <w:lvlJc w:val="left"/>
    </w:lvl>
  </w:abstractNum>
  <w:abstractNum w:abstractNumId="3">
    <w:nsid w:val="29DCA47E"/>
    <w:multiLevelType w:val="singleLevel"/>
    <w:tmpl w:val="29DCA47E"/>
    <w:lvl w:ilvl="0" w:tentative="0">
      <w:start w:val="2"/>
      <w:numFmt w:val="decimal"/>
      <w:suff w:val="nothing"/>
      <w:lvlText w:val="（%1）"/>
      <w:lvlJc w:val="left"/>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ZGQ5ZWQ1MmJhMGZkNmYwMjg3MjM4MGI4MGE3YjQifQ=="/>
  </w:docVars>
  <w:rsids>
    <w:rsidRoot w:val="00000000"/>
    <w:rsid w:val="008A4DD1"/>
    <w:rsid w:val="012771CA"/>
    <w:rsid w:val="01840767"/>
    <w:rsid w:val="028D2A10"/>
    <w:rsid w:val="02EF3E6D"/>
    <w:rsid w:val="039B4076"/>
    <w:rsid w:val="03FF09D1"/>
    <w:rsid w:val="040A347E"/>
    <w:rsid w:val="0434068E"/>
    <w:rsid w:val="04444582"/>
    <w:rsid w:val="04A42176"/>
    <w:rsid w:val="04EE5035"/>
    <w:rsid w:val="05E3484E"/>
    <w:rsid w:val="062F27A0"/>
    <w:rsid w:val="064F275A"/>
    <w:rsid w:val="071C74E7"/>
    <w:rsid w:val="07626FF2"/>
    <w:rsid w:val="07EF06E0"/>
    <w:rsid w:val="07FC58F7"/>
    <w:rsid w:val="092B66E4"/>
    <w:rsid w:val="09497050"/>
    <w:rsid w:val="096F254B"/>
    <w:rsid w:val="09F54830"/>
    <w:rsid w:val="0A0210D2"/>
    <w:rsid w:val="0A357CA6"/>
    <w:rsid w:val="0A7A62B1"/>
    <w:rsid w:val="0A857EFA"/>
    <w:rsid w:val="0AB02A04"/>
    <w:rsid w:val="0B583A48"/>
    <w:rsid w:val="0B952B8D"/>
    <w:rsid w:val="0BB3080C"/>
    <w:rsid w:val="0BD6105C"/>
    <w:rsid w:val="0C2C076A"/>
    <w:rsid w:val="0C3B1291"/>
    <w:rsid w:val="0C54499C"/>
    <w:rsid w:val="0D0A45F3"/>
    <w:rsid w:val="0D3523D5"/>
    <w:rsid w:val="0D6C29E7"/>
    <w:rsid w:val="0E3B075D"/>
    <w:rsid w:val="0E534696"/>
    <w:rsid w:val="0EA65532"/>
    <w:rsid w:val="0F6B490B"/>
    <w:rsid w:val="0FFF63DC"/>
    <w:rsid w:val="10AD735D"/>
    <w:rsid w:val="114F60DB"/>
    <w:rsid w:val="11D844E4"/>
    <w:rsid w:val="12BC5972"/>
    <w:rsid w:val="13895AD1"/>
    <w:rsid w:val="13A2600B"/>
    <w:rsid w:val="13E85359"/>
    <w:rsid w:val="14000139"/>
    <w:rsid w:val="14457ECD"/>
    <w:rsid w:val="144C30DB"/>
    <w:rsid w:val="14945576"/>
    <w:rsid w:val="16422B8A"/>
    <w:rsid w:val="16787795"/>
    <w:rsid w:val="167D4006"/>
    <w:rsid w:val="16CE46AA"/>
    <w:rsid w:val="16D33104"/>
    <w:rsid w:val="16FF25CE"/>
    <w:rsid w:val="170A318D"/>
    <w:rsid w:val="17222706"/>
    <w:rsid w:val="178E6B3F"/>
    <w:rsid w:val="179F3297"/>
    <w:rsid w:val="17F95F96"/>
    <w:rsid w:val="18BE20F2"/>
    <w:rsid w:val="18C67E87"/>
    <w:rsid w:val="18F32B1A"/>
    <w:rsid w:val="19186A04"/>
    <w:rsid w:val="197154D5"/>
    <w:rsid w:val="19D708FD"/>
    <w:rsid w:val="1ABA07E3"/>
    <w:rsid w:val="1AF11EE9"/>
    <w:rsid w:val="1B1B5AE7"/>
    <w:rsid w:val="1BE61A31"/>
    <w:rsid w:val="1CA03607"/>
    <w:rsid w:val="1D214E1D"/>
    <w:rsid w:val="1D46545E"/>
    <w:rsid w:val="1D8119D1"/>
    <w:rsid w:val="1D9B15A6"/>
    <w:rsid w:val="1DDA7705"/>
    <w:rsid w:val="1DE1733B"/>
    <w:rsid w:val="1DFE6556"/>
    <w:rsid w:val="1E3169BD"/>
    <w:rsid w:val="1E7E5153"/>
    <w:rsid w:val="1F566E40"/>
    <w:rsid w:val="1FE8011B"/>
    <w:rsid w:val="200B2313"/>
    <w:rsid w:val="208B04E5"/>
    <w:rsid w:val="208E0B97"/>
    <w:rsid w:val="20A455EC"/>
    <w:rsid w:val="20E463FD"/>
    <w:rsid w:val="21A3063D"/>
    <w:rsid w:val="21B8105E"/>
    <w:rsid w:val="22B37E50"/>
    <w:rsid w:val="22EA5D55"/>
    <w:rsid w:val="23163928"/>
    <w:rsid w:val="23A668A4"/>
    <w:rsid w:val="23F855A9"/>
    <w:rsid w:val="24817751"/>
    <w:rsid w:val="24A56C6E"/>
    <w:rsid w:val="24BE7066"/>
    <w:rsid w:val="25043DDF"/>
    <w:rsid w:val="25512CD5"/>
    <w:rsid w:val="25587D4A"/>
    <w:rsid w:val="256652F2"/>
    <w:rsid w:val="25E54C16"/>
    <w:rsid w:val="25FE5E3B"/>
    <w:rsid w:val="26135940"/>
    <w:rsid w:val="26D7397F"/>
    <w:rsid w:val="270D0F30"/>
    <w:rsid w:val="278F11C3"/>
    <w:rsid w:val="27CA26F6"/>
    <w:rsid w:val="27DE2261"/>
    <w:rsid w:val="2849600C"/>
    <w:rsid w:val="28693F9B"/>
    <w:rsid w:val="28F532FD"/>
    <w:rsid w:val="2A2D07F8"/>
    <w:rsid w:val="2A512844"/>
    <w:rsid w:val="2B1F0683"/>
    <w:rsid w:val="2B44261D"/>
    <w:rsid w:val="2B44271F"/>
    <w:rsid w:val="2B595482"/>
    <w:rsid w:val="2B5C5A5F"/>
    <w:rsid w:val="2B7C3D9A"/>
    <w:rsid w:val="2CE02C84"/>
    <w:rsid w:val="2DBE647D"/>
    <w:rsid w:val="2E142F4F"/>
    <w:rsid w:val="2E43229D"/>
    <w:rsid w:val="2E5D431B"/>
    <w:rsid w:val="2EBA6A72"/>
    <w:rsid w:val="2EDC2CE7"/>
    <w:rsid w:val="2F9C5111"/>
    <w:rsid w:val="2FAB7D0C"/>
    <w:rsid w:val="2FD00080"/>
    <w:rsid w:val="303403F6"/>
    <w:rsid w:val="306666F7"/>
    <w:rsid w:val="306E16E9"/>
    <w:rsid w:val="3088561E"/>
    <w:rsid w:val="310475B8"/>
    <w:rsid w:val="310E7982"/>
    <w:rsid w:val="311447E9"/>
    <w:rsid w:val="31263489"/>
    <w:rsid w:val="312C1C0F"/>
    <w:rsid w:val="313F36B9"/>
    <w:rsid w:val="31C17740"/>
    <w:rsid w:val="32462FB2"/>
    <w:rsid w:val="326363F3"/>
    <w:rsid w:val="32F62731"/>
    <w:rsid w:val="33A30126"/>
    <w:rsid w:val="34967BEC"/>
    <w:rsid w:val="35031914"/>
    <w:rsid w:val="355851B8"/>
    <w:rsid w:val="357B3B1F"/>
    <w:rsid w:val="35C17548"/>
    <w:rsid w:val="360612FB"/>
    <w:rsid w:val="368E52D8"/>
    <w:rsid w:val="36E0159F"/>
    <w:rsid w:val="3734642A"/>
    <w:rsid w:val="376D1AC5"/>
    <w:rsid w:val="3782510E"/>
    <w:rsid w:val="37877091"/>
    <w:rsid w:val="381C31E4"/>
    <w:rsid w:val="382F476D"/>
    <w:rsid w:val="38A725C7"/>
    <w:rsid w:val="38B0770F"/>
    <w:rsid w:val="38F72F1B"/>
    <w:rsid w:val="38F96505"/>
    <w:rsid w:val="392028C4"/>
    <w:rsid w:val="39472834"/>
    <w:rsid w:val="39485291"/>
    <w:rsid w:val="396A5C96"/>
    <w:rsid w:val="3A176869"/>
    <w:rsid w:val="3A65303F"/>
    <w:rsid w:val="3ADB5C85"/>
    <w:rsid w:val="3AF776C2"/>
    <w:rsid w:val="3AFA2251"/>
    <w:rsid w:val="3B376C98"/>
    <w:rsid w:val="3B931E0B"/>
    <w:rsid w:val="3C1F46BB"/>
    <w:rsid w:val="3C993C30"/>
    <w:rsid w:val="3CB55DD9"/>
    <w:rsid w:val="3D991F99"/>
    <w:rsid w:val="3DA8762F"/>
    <w:rsid w:val="3DB07F6B"/>
    <w:rsid w:val="3DCE783B"/>
    <w:rsid w:val="3DE57621"/>
    <w:rsid w:val="3E22139D"/>
    <w:rsid w:val="3E901F5F"/>
    <w:rsid w:val="3EA856B2"/>
    <w:rsid w:val="3EE202B9"/>
    <w:rsid w:val="3F415710"/>
    <w:rsid w:val="3FA269AC"/>
    <w:rsid w:val="3FD25B24"/>
    <w:rsid w:val="404770E6"/>
    <w:rsid w:val="40991D13"/>
    <w:rsid w:val="40AD18E2"/>
    <w:rsid w:val="41AF4B8B"/>
    <w:rsid w:val="427771EB"/>
    <w:rsid w:val="430B3B99"/>
    <w:rsid w:val="431D10B7"/>
    <w:rsid w:val="43481FFB"/>
    <w:rsid w:val="44980CDC"/>
    <w:rsid w:val="44C16A07"/>
    <w:rsid w:val="44DB7A97"/>
    <w:rsid w:val="44EA4795"/>
    <w:rsid w:val="451A33E4"/>
    <w:rsid w:val="455137BA"/>
    <w:rsid w:val="455F7A69"/>
    <w:rsid w:val="45992592"/>
    <w:rsid w:val="45B01234"/>
    <w:rsid w:val="46285E16"/>
    <w:rsid w:val="464153DB"/>
    <w:rsid w:val="46565C03"/>
    <w:rsid w:val="46827A75"/>
    <w:rsid w:val="46862F52"/>
    <w:rsid w:val="469E4FB6"/>
    <w:rsid w:val="46EF4DF0"/>
    <w:rsid w:val="47974B6C"/>
    <w:rsid w:val="47BE2B4A"/>
    <w:rsid w:val="48E646BE"/>
    <w:rsid w:val="491456B1"/>
    <w:rsid w:val="49263929"/>
    <w:rsid w:val="49DC4E68"/>
    <w:rsid w:val="4A5F1906"/>
    <w:rsid w:val="4A61101F"/>
    <w:rsid w:val="4A6C1FC3"/>
    <w:rsid w:val="4AEB4E36"/>
    <w:rsid w:val="4AFC1FFA"/>
    <w:rsid w:val="4B285E73"/>
    <w:rsid w:val="4BCD7001"/>
    <w:rsid w:val="4BD56629"/>
    <w:rsid w:val="4BDE000E"/>
    <w:rsid w:val="4BFE315B"/>
    <w:rsid w:val="4C144C48"/>
    <w:rsid w:val="4C2E17D2"/>
    <w:rsid w:val="4C417A6E"/>
    <w:rsid w:val="4C596153"/>
    <w:rsid w:val="4CE66ED1"/>
    <w:rsid w:val="4D0742A5"/>
    <w:rsid w:val="4D214ED7"/>
    <w:rsid w:val="4D3F3DD9"/>
    <w:rsid w:val="4D654A4A"/>
    <w:rsid w:val="4DB33D9B"/>
    <w:rsid w:val="4DD546D5"/>
    <w:rsid w:val="4E5A6BD8"/>
    <w:rsid w:val="4E6F0E2D"/>
    <w:rsid w:val="4ED2574B"/>
    <w:rsid w:val="4EFD6807"/>
    <w:rsid w:val="4F1B59B5"/>
    <w:rsid w:val="4F3B2021"/>
    <w:rsid w:val="5152079A"/>
    <w:rsid w:val="51AA6309"/>
    <w:rsid w:val="51CE7A60"/>
    <w:rsid w:val="51F352EB"/>
    <w:rsid w:val="52265D02"/>
    <w:rsid w:val="52937716"/>
    <w:rsid w:val="52A11D3B"/>
    <w:rsid w:val="52B651A7"/>
    <w:rsid w:val="52DC751A"/>
    <w:rsid w:val="54007A11"/>
    <w:rsid w:val="544A0ADE"/>
    <w:rsid w:val="546973DC"/>
    <w:rsid w:val="54CF7D80"/>
    <w:rsid w:val="55A503E6"/>
    <w:rsid w:val="569E2036"/>
    <w:rsid w:val="56B700C6"/>
    <w:rsid w:val="57416F33"/>
    <w:rsid w:val="576E15CC"/>
    <w:rsid w:val="579978C1"/>
    <w:rsid w:val="57C62767"/>
    <w:rsid w:val="581E1696"/>
    <w:rsid w:val="581F5B81"/>
    <w:rsid w:val="586E5D3E"/>
    <w:rsid w:val="58D35EB3"/>
    <w:rsid w:val="59154660"/>
    <w:rsid w:val="594D4B8E"/>
    <w:rsid w:val="59525FDB"/>
    <w:rsid w:val="59A62A20"/>
    <w:rsid w:val="59A93A55"/>
    <w:rsid w:val="5A710D5C"/>
    <w:rsid w:val="5A7908D5"/>
    <w:rsid w:val="5AAD478D"/>
    <w:rsid w:val="5B4A2A3E"/>
    <w:rsid w:val="5B5E45D9"/>
    <w:rsid w:val="5BA45D69"/>
    <w:rsid w:val="5C2C4ADB"/>
    <w:rsid w:val="5C580382"/>
    <w:rsid w:val="5D491FEE"/>
    <w:rsid w:val="5D62480F"/>
    <w:rsid w:val="5DDF6E91"/>
    <w:rsid w:val="5E00724C"/>
    <w:rsid w:val="5ED53891"/>
    <w:rsid w:val="5F3C3859"/>
    <w:rsid w:val="5FB474E0"/>
    <w:rsid w:val="5FD77B3B"/>
    <w:rsid w:val="6023446D"/>
    <w:rsid w:val="61087E2D"/>
    <w:rsid w:val="61627EF2"/>
    <w:rsid w:val="61E045CD"/>
    <w:rsid w:val="62061B5C"/>
    <w:rsid w:val="62874764"/>
    <w:rsid w:val="62F42042"/>
    <w:rsid w:val="635E565F"/>
    <w:rsid w:val="63945187"/>
    <w:rsid w:val="639D7495"/>
    <w:rsid w:val="63B065DA"/>
    <w:rsid w:val="63F97017"/>
    <w:rsid w:val="641540CC"/>
    <w:rsid w:val="641A131C"/>
    <w:rsid w:val="646E4065"/>
    <w:rsid w:val="649E418C"/>
    <w:rsid w:val="64B20A0E"/>
    <w:rsid w:val="64B32A88"/>
    <w:rsid w:val="65E5242F"/>
    <w:rsid w:val="667211B2"/>
    <w:rsid w:val="66B2109F"/>
    <w:rsid w:val="66E2130C"/>
    <w:rsid w:val="6750559A"/>
    <w:rsid w:val="676350A4"/>
    <w:rsid w:val="678B32A0"/>
    <w:rsid w:val="684F5878"/>
    <w:rsid w:val="68BD71B4"/>
    <w:rsid w:val="68EC3DD0"/>
    <w:rsid w:val="692B4132"/>
    <w:rsid w:val="6A3C04F2"/>
    <w:rsid w:val="6A433669"/>
    <w:rsid w:val="6A7C678A"/>
    <w:rsid w:val="6A9E1710"/>
    <w:rsid w:val="6AC7738E"/>
    <w:rsid w:val="6BAA7113"/>
    <w:rsid w:val="6BF80FF3"/>
    <w:rsid w:val="6C05238F"/>
    <w:rsid w:val="6C311B17"/>
    <w:rsid w:val="6D05244E"/>
    <w:rsid w:val="6D243774"/>
    <w:rsid w:val="6D2B6BB7"/>
    <w:rsid w:val="6D542C57"/>
    <w:rsid w:val="6D6418AE"/>
    <w:rsid w:val="6DBC51E2"/>
    <w:rsid w:val="6E287E44"/>
    <w:rsid w:val="6E2A4C0B"/>
    <w:rsid w:val="6E9D5637"/>
    <w:rsid w:val="6F4F605A"/>
    <w:rsid w:val="6FD025A6"/>
    <w:rsid w:val="70242621"/>
    <w:rsid w:val="7029103C"/>
    <w:rsid w:val="704F15F9"/>
    <w:rsid w:val="705E5698"/>
    <w:rsid w:val="70951F5C"/>
    <w:rsid w:val="709E5E25"/>
    <w:rsid w:val="71052A8E"/>
    <w:rsid w:val="714251E9"/>
    <w:rsid w:val="71AB06BA"/>
    <w:rsid w:val="71F145A9"/>
    <w:rsid w:val="72330FCB"/>
    <w:rsid w:val="72E82850"/>
    <w:rsid w:val="739B7ABD"/>
    <w:rsid w:val="73F640E0"/>
    <w:rsid w:val="73F75673"/>
    <w:rsid w:val="740C2EB6"/>
    <w:rsid w:val="74360245"/>
    <w:rsid w:val="744448D5"/>
    <w:rsid w:val="74C332C2"/>
    <w:rsid w:val="74CB17FF"/>
    <w:rsid w:val="7570523A"/>
    <w:rsid w:val="75BF0C01"/>
    <w:rsid w:val="75C23499"/>
    <w:rsid w:val="76320D4E"/>
    <w:rsid w:val="7672533A"/>
    <w:rsid w:val="77132BA9"/>
    <w:rsid w:val="778E18B2"/>
    <w:rsid w:val="77D9070C"/>
    <w:rsid w:val="780A18BA"/>
    <w:rsid w:val="78641EBF"/>
    <w:rsid w:val="786B670E"/>
    <w:rsid w:val="792E16F0"/>
    <w:rsid w:val="798F2768"/>
    <w:rsid w:val="79B902B8"/>
    <w:rsid w:val="79DC46B7"/>
    <w:rsid w:val="7A4946DA"/>
    <w:rsid w:val="7AC272FF"/>
    <w:rsid w:val="7AF75D5C"/>
    <w:rsid w:val="7B2B326A"/>
    <w:rsid w:val="7B3B2338"/>
    <w:rsid w:val="7B5D6421"/>
    <w:rsid w:val="7BA86E99"/>
    <w:rsid w:val="7BC469C3"/>
    <w:rsid w:val="7C4F7056"/>
    <w:rsid w:val="7C900816"/>
    <w:rsid w:val="7CAE29D1"/>
    <w:rsid w:val="7CD63AC7"/>
    <w:rsid w:val="7CEB54F6"/>
    <w:rsid w:val="7D1930A0"/>
    <w:rsid w:val="7D2221D8"/>
    <w:rsid w:val="7D397C9C"/>
    <w:rsid w:val="7D442AF4"/>
    <w:rsid w:val="7D57146E"/>
    <w:rsid w:val="7D774E71"/>
    <w:rsid w:val="7DA525FA"/>
    <w:rsid w:val="7DA7390D"/>
    <w:rsid w:val="7DB8544C"/>
    <w:rsid w:val="7E135E11"/>
    <w:rsid w:val="7E362BEF"/>
    <w:rsid w:val="7F0E612D"/>
    <w:rsid w:val="7F5D773E"/>
    <w:rsid w:val="7F690FAE"/>
    <w:rsid w:val="7F7A63C8"/>
    <w:rsid w:val="7F8D0CCF"/>
    <w:rsid w:val="7FCA156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2">
    <w:name w:val="heading 2"/>
    <w:basedOn w:val="1"/>
    <w:next w:val="1"/>
    <w:unhideWhenUsed/>
    <w:qFormat/>
    <w:uiPriority w:val="99"/>
    <w:pPr>
      <w:widowControl w:val="0"/>
      <w:autoSpaceDE w:val="0"/>
      <w:autoSpaceDN w:val="0"/>
      <w:adjustRightInd w:val="0"/>
      <w:spacing w:beforeLines="0" w:afterLines="0"/>
      <w:outlineLvl w:val="1"/>
    </w:pPr>
    <w:rPr>
      <w:rFonts w:hint="default" w:ascii="Arial" w:hAnsi="Arial" w:eastAsia="宋体" w:cs="Times New Roman"/>
      <w:b/>
      <w:i/>
      <w:color w:val="000000"/>
      <w:sz w:val="2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Indent"/>
    <w:basedOn w:val="1"/>
    <w:qFormat/>
    <w:uiPriority w:val="0"/>
    <w:pPr>
      <w:spacing w:after="120"/>
      <w:ind w:left="420" w:leftChars="200"/>
    </w:pPr>
  </w:style>
  <w:style w:type="paragraph" w:styleId="6">
    <w:name w:val="Plain Text"/>
    <w:basedOn w:val="1"/>
    <w:qFormat/>
    <w:uiPriority w:val="0"/>
    <w:rPr>
      <w:rFonts w:ascii="宋体" w:hAnsi="Courier New"/>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11"/>
    <w:basedOn w:val="5"/>
    <w:qFormat/>
    <w:uiPriority w:val="0"/>
    <w:pPr>
      <w:spacing w:line="360" w:lineRule="auto"/>
    </w:pPr>
    <w:rPr>
      <w:rFonts w:hAnsi="宋体"/>
      <w:b/>
      <w:szCs w:val="21"/>
    </w:rPr>
  </w:style>
  <w:style w:type="paragraph" w:customStyle="1" w:styleId="12">
    <w:name w:val="目录 21"/>
    <w:basedOn w:val="1"/>
    <w:next w:val="1"/>
    <w:qFormat/>
    <w:uiPriority w:val="0"/>
    <w:pPr>
      <w:spacing w:before="100" w:beforeAutospacing="1" w:after="100" w:afterAutospacing="1"/>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19777</Words>
  <Characters>20581</Characters>
  <Lines>0</Lines>
  <Paragraphs>0</Paragraphs>
  <TotalTime>0</TotalTime>
  <ScaleCrop>false</ScaleCrop>
  <LinksUpToDate>false</LinksUpToDate>
  <CharactersWithSpaces>21092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2020-10-13T00:40:00Z</dcterms:created>
  <dc:creator>Administrator</dc:creator>
  <cp:lastModifiedBy>马骏安</cp:lastModifiedBy>
  <dcterms:modified xsi:type="dcterms:W3CDTF">2026-03-13T00:52:38Z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17403F00B69A469B942F953B324C1E65_13</vt:lpwstr>
  </property>
  <property fmtid="{D5CDD505-2E9C-101B-9397-08002B2CF9AE}" pid="4" name="KSOTemplateDocerSaveRecord">
    <vt:lpwstr>eyJoZGlkIjoiNGQxZGUyZmQ5MDU5MjhiNzUxNWY4N2Q0ZGU2Y2VhOTgiLCJ1c2VySWQiOiI3MDM5OTYzMzMifQ==</vt:lpwstr>
  </property>
</Properties>
</file>